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A7" w:rsidRPr="005A5C53" w:rsidRDefault="00C97BA7">
      <w:pPr>
        <w:rPr>
          <w:b/>
          <w:sz w:val="28"/>
          <w:szCs w:val="28"/>
        </w:rPr>
      </w:pPr>
      <w:r w:rsidRPr="005A5C53">
        <w:rPr>
          <w:b/>
          <w:sz w:val="28"/>
          <w:szCs w:val="28"/>
        </w:rPr>
        <w:t>Impa</w:t>
      </w:r>
      <w:r w:rsidR="00A26C1D">
        <w:rPr>
          <w:b/>
          <w:sz w:val="28"/>
          <w:szCs w:val="28"/>
        </w:rPr>
        <w:t>ct of Pupil Premium Funding 2018</w:t>
      </w:r>
    </w:p>
    <w:p w:rsidR="00707D28" w:rsidRPr="005A5C53" w:rsidRDefault="00A26C1D" w:rsidP="00707D28">
      <w:pPr>
        <w:rPr>
          <w:b/>
          <w:sz w:val="24"/>
          <w:szCs w:val="24"/>
        </w:rPr>
      </w:pPr>
      <w:r>
        <w:rPr>
          <w:b/>
          <w:sz w:val="24"/>
          <w:szCs w:val="24"/>
        </w:rPr>
        <w:t>Key Stage 2 Data June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1607"/>
        <w:gridCol w:w="1408"/>
        <w:gridCol w:w="1587"/>
      </w:tblGrid>
      <w:tr w:rsidR="00707D28" w:rsidTr="00707D28">
        <w:tc>
          <w:tcPr>
            <w:tcW w:w="4640" w:type="dxa"/>
          </w:tcPr>
          <w:p w:rsidR="00707D28" w:rsidRDefault="00707D28" w:rsidP="00DA0596"/>
        </w:tc>
        <w:tc>
          <w:tcPr>
            <w:tcW w:w="1607" w:type="dxa"/>
          </w:tcPr>
          <w:p w:rsidR="00707D28" w:rsidRPr="009F6534" w:rsidRDefault="00707D28" w:rsidP="00DA0596">
            <w:pPr>
              <w:jc w:val="center"/>
              <w:rPr>
                <w:b/>
              </w:rPr>
            </w:pPr>
            <w:r w:rsidRPr="009F6534">
              <w:rPr>
                <w:b/>
              </w:rPr>
              <w:t>School</w:t>
            </w:r>
          </w:p>
        </w:tc>
        <w:tc>
          <w:tcPr>
            <w:tcW w:w="1408" w:type="dxa"/>
          </w:tcPr>
          <w:p w:rsidR="00707D28" w:rsidRPr="009F6534" w:rsidRDefault="00707D28" w:rsidP="00DA0596">
            <w:pPr>
              <w:jc w:val="center"/>
              <w:rPr>
                <w:b/>
              </w:rPr>
            </w:pPr>
            <w:r>
              <w:rPr>
                <w:b/>
              </w:rPr>
              <w:t>Pupil Premium</w:t>
            </w:r>
          </w:p>
        </w:tc>
        <w:tc>
          <w:tcPr>
            <w:tcW w:w="1587" w:type="dxa"/>
          </w:tcPr>
          <w:p w:rsidR="00707D28" w:rsidRPr="009F6534" w:rsidRDefault="00707D28" w:rsidP="00DA0596">
            <w:pPr>
              <w:jc w:val="center"/>
              <w:rPr>
                <w:b/>
              </w:rPr>
            </w:pPr>
            <w:r w:rsidRPr="009F6534">
              <w:rPr>
                <w:b/>
              </w:rPr>
              <w:t>National</w:t>
            </w:r>
          </w:p>
        </w:tc>
      </w:tr>
      <w:tr w:rsidR="00707D28" w:rsidTr="00707D28">
        <w:tc>
          <w:tcPr>
            <w:tcW w:w="4640" w:type="dxa"/>
          </w:tcPr>
          <w:p w:rsidR="00707D28" w:rsidRDefault="00707D28" w:rsidP="00DA0596">
            <w:r>
              <w:t>Percentage achieving expected standard in Reading</w:t>
            </w:r>
          </w:p>
        </w:tc>
        <w:tc>
          <w:tcPr>
            <w:tcW w:w="1607" w:type="dxa"/>
          </w:tcPr>
          <w:p w:rsidR="00707D28" w:rsidRDefault="00974AEC" w:rsidP="00DA0596">
            <w:pPr>
              <w:jc w:val="center"/>
            </w:pPr>
            <w:r>
              <w:t>86.7%</w:t>
            </w:r>
          </w:p>
        </w:tc>
        <w:tc>
          <w:tcPr>
            <w:tcW w:w="1408" w:type="dxa"/>
          </w:tcPr>
          <w:p w:rsidR="00707D28" w:rsidRDefault="00974AEC" w:rsidP="00DA0596">
            <w:pPr>
              <w:jc w:val="center"/>
            </w:pPr>
            <w:r>
              <w:t>77.8%</w:t>
            </w:r>
          </w:p>
        </w:tc>
        <w:tc>
          <w:tcPr>
            <w:tcW w:w="1587" w:type="dxa"/>
          </w:tcPr>
          <w:p w:rsidR="00707D28" w:rsidRDefault="00974AEC" w:rsidP="00DA0596">
            <w:pPr>
              <w:jc w:val="center"/>
            </w:pPr>
            <w:r>
              <w:t>75%</w:t>
            </w:r>
          </w:p>
        </w:tc>
      </w:tr>
      <w:tr w:rsidR="00707D28" w:rsidTr="00707D28">
        <w:tc>
          <w:tcPr>
            <w:tcW w:w="4640" w:type="dxa"/>
          </w:tcPr>
          <w:p w:rsidR="00707D28" w:rsidRDefault="00707D28" w:rsidP="00DA0596">
            <w:r>
              <w:t>Percentage achieving expected standard in Writing</w:t>
            </w:r>
          </w:p>
        </w:tc>
        <w:tc>
          <w:tcPr>
            <w:tcW w:w="1607" w:type="dxa"/>
          </w:tcPr>
          <w:p w:rsidR="00707D28" w:rsidRDefault="00974AEC" w:rsidP="00DA0596">
            <w:pPr>
              <w:jc w:val="center"/>
            </w:pPr>
            <w:r>
              <w:t>90.0%</w:t>
            </w:r>
          </w:p>
        </w:tc>
        <w:tc>
          <w:tcPr>
            <w:tcW w:w="1408" w:type="dxa"/>
          </w:tcPr>
          <w:p w:rsidR="00707D28" w:rsidRDefault="00974AEC" w:rsidP="00DA0596">
            <w:pPr>
              <w:jc w:val="center"/>
            </w:pPr>
            <w:r>
              <w:t>77.8%</w:t>
            </w:r>
          </w:p>
        </w:tc>
        <w:tc>
          <w:tcPr>
            <w:tcW w:w="1587" w:type="dxa"/>
          </w:tcPr>
          <w:p w:rsidR="00707D28" w:rsidRDefault="00974AEC" w:rsidP="00DA0596">
            <w:pPr>
              <w:jc w:val="center"/>
            </w:pPr>
            <w:r>
              <w:t>78%</w:t>
            </w:r>
          </w:p>
        </w:tc>
      </w:tr>
      <w:tr w:rsidR="00707D28" w:rsidTr="00707D28">
        <w:tc>
          <w:tcPr>
            <w:tcW w:w="4640" w:type="dxa"/>
          </w:tcPr>
          <w:p w:rsidR="00707D28" w:rsidRDefault="00707D28" w:rsidP="00DA0596">
            <w:r>
              <w:t>Percentage achieving expected standard in Grammar, Punctuation and Spelling</w:t>
            </w:r>
          </w:p>
        </w:tc>
        <w:tc>
          <w:tcPr>
            <w:tcW w:w="1607" w:type="dxa"/>
          </w:tcPr>
          <w:p w:rsidR="00707D28" w:rsidRDefault="00CD7E07" w:rsidP="00DA0596">
            <w:pPr>
              <w:jc w:val="center"/>
            </w:pPr>
            <w:r>
              <w:t>90%</w:t>
            </w:r>
          </w:p>
        </w:tc>
        <w:tc>
          <w:tcPr>
            <w:tcW w:w="1408" w:type="dxa"/>
          </w:tcPr>
          <w:p w:rsidR="00707D28" w:rsidRDefault="00CD7E07" w:rsidP="00DA0596">
            <w:pPr>
              <w:jc w:val="center"/>
            </w:pPr>
            <w:r>
              <w:t>78%</w:t>
            </w:r>
          </w:p>
        </w:tc>
        <w:tc>
          <w:tcPr>
            <w:tcW w:w="1587" w:type="dxa"/>
          </w:tcPr>
          <w:p w:rsidR="00707D28" w:rsidRDefault="00CD7E07" w:rsidP="00DA0596">
            <w:pPr>
              <w:jc w:val="center"/>
            </w:pPr>
            <w:r>
              <w:t>78%</w:t>
            </w:r>
          </w:p>
        </w:tc>
      </w:tr>
      <w:tr w:rsidR="00707D28" w:rsidTr="00707D28">
        <w:tc>
          <w:tcPr>
            <w:tcW w:w="4640" w:type="dxa"/>
          </w:tcPr>
          <w:p w:rsidR="00707D28" w:rsidRDefault="00707D28" w:rsidP="00DA0596">
            <w:r>
              <w:t>Percentage achieving expected standard in Maths</w:t>
            </w:r>
          </w:p>
        </w:tc>
        <w:tc>
          <w:tcPr>
            <w:tcW w:w="1607" w:type="dxa"/>
          </w:tcPr>
          <w:p w:rsidR="00707D28" w:rsidRDefault="00974AEC" w:rsidP="00DA0596">
            <w:pPr>
              <w:jc w:val="center"/>
            </w:pPr>
            <w:r>
              <w:t>86.7%</w:t>
            </w:r>
          </w:p>
        </w:tc>
        <w:tc>
          <w:tcPr>
            <w:tcW w:w="1408" w:type="dxa"/>
          </w:tcPr>
          <w:p w:rsidR="00707D28" w:rsidRDefault="00974AEC" w:rsidP="00DA0596">
            <w:pPr>
              <w:jc w:val="center"/>
            </w:pPr>
            <w:r>
              <w:t>77.8%</w:t>
            </w:r>
          </w:p>
        </w:tc>
        <w:tc>
          <w:tcPr>
            <w:tcW w:w="1587" w:type="dxa"/>
          </w:tcPr>
          <w:p w:rsidR="00707D28" w:rsidRDefault="00974AEC" w:rsidP="00DA0596">
            <w:pPr>
              <w:jc w:val="center"/>
            </w:pPr>
            <w:r>
              <w:t>76%</w:t>
            </w:r>
          </w:p>
        </w:tc>
      </w:tr>
      <w:tr w:rsidR="00707D28" w:rsidTr="00EC76ED">
        <w:tc>
          <w:tcPr>
            <w:tcW w:w="4640" w:type="dxa"/>
          </w:tcPr>
          <w:p w:rsidR="00707D28" w:rsidRDefault="00707D28" w:rsidP="00DA0596">
            <w:r>
              <w:t>Percentage achieving expected standard in R,W and Ma</w:t>
            </w:r>
          </w:p>
        </w:tc>
        <w:tc>
          <w:tcPr>
            <w:tcW w:w="1607" w:type="dxa"/>
          </w:tcPr>
          <w:p w:rsidR="00707D28" w:rsidRDefault="00974AEC" w:rsidP="00DA0596">
            <w:pPr>
              <w:jc w:val="center"/>
            </w:pPr>
            <w:r>
              <w:t>83.3%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07D28" w:rsidRDefault="00974AEC" w:rsidP="00DA0596">
            <w:pPr>
              <w:jc w:val="center"/>
            </w:pPr>
            <w:r>
              <w:t>66.7%</w:t>
            </w:r>
          </w:p>
        </w:tc>
        <w:tc>
          <w:tcPr>
            <w:tcW w:w="1587" w:type="dxa"/>
          </w:tcPr>
          <w:p w:rsidR="00707D28" w:rsidRDefault="00974AEC" w:rsidP="00DA0596">
            <w:pPr>
              <w:jc w:val="center"/>
            </w:pPr>
            <w:r>
              <w:t>64%</w:t>
            </w:r>
          </w:p>
        </w:tc>
      </w:tr>
      <w:tr w:rsidR="00707D28" w:rsidTr="00EC76ED">
        <w:tc>
          <w:tcPr>
            <w:tcW w:w="4640" w:type="dxa"/>
          </w:tcPr>
          <w:p w:rsidR="00707D28" w:rsidRDefault="00707D28" w:rsidP="00DA0596">
            <w:r>
              <w:t>Average Progress in Reading</w:t>
            </w:r>
          </w:p>
        </w:tc>
        <w:tc>
          <w:tcPr>
            <w:tcW w:w="1607" w:type="dxa"/>
          </w:tcPr>
          <w:p w:rsidR="00707D28" w:rsidRDefault="00110E89" w:rsidP="00DA0596">
            <w:pPr>
              <w:jc w:val="center"/>
            </w:pPr>
            <w:r>
              <w:t>1.3</w:t>
            </w:r>
          </w:p>
        </w:tc>
        <w:tc>
          <w:tcPr>
            <w:tcW w:w="1408" w:type="dxa"/>
            <w:shd w:val="clear" w:color="auto" w:fill="auto"/>
          </w:tcPr>
          <w:p w:rsidR="00707D28" w:rsidRDefault="00110E89" w:rsidP="00DA0596">
            <w:pPr>
              <w:jc w:val="center"/>
            </w:pPr>
            <w:r>
              <w:t>-1.2</w:t>
            </w:r>
          </w:p>
        </w:tc>
        <w:tc>
          <w:tcPr>
            <w:tcW w:w="1587" w:type="dxa"/>
            <w:shd w:val="clear" w:color="auto" w:fill="auto"/>
          </w:tcPr>
          <w:p w:rsidR="00707D28" w:rsidRDefault="00110E89" w:rsidP="00DA0596">
            <w:pPr>
              <w:jc w:val="center"/>
            </w:pPr>
            <w:r>
              <w:t>0</w:t>
            </w:r>
          </w:p>
        </w:tc>
      </w:tr>
      <w:tr w:rsidR="00707D28" w:rsidTr="00EC76ED">
        <w:tc>
          <w:tcPr>
            <w:tcW w:w="4640" w:type="dxa"/>
          </w:tcPr>
          <w:p w:rsidR="00707D28" w:rsidRDefault="00707D28" w:rsidP="00DA0596">
            <w:r>
              <w:t>Average Progress in Writing</w:t>
            </w:r>
          </w:p>
        </w:tc>
        <w:tc>
          <w:tcPr>
            <w:tcW w:w="1607" w:type="dxa"/>
          </w:tcPr>
          <w:p w:rsidR="00707D28" w:rsidRDefault="00110E89" w:rsidP="00DA0596">
            <w:pPr>
              <w:jc w:val="center"/>
            </w:pPr>
            <w:r>
              <w:t>-1.0</w:t>
            </w:r>
          </w:p>
        </w:tc>
        <w:tc>
          <w:tcPr>
            <w:tcW w:w="1408" w:type="dxa"/>
            <w:shd w:val="clear" w:color="auto" w:fill="auto"/>
          </w:tcPr>
          <w:p w:rsidR="00707D28" w:rsidRDefault="00110E89" w:rsidP="00DA0596">
            <w:pPr>
              <w:jc w:val="center"/>
            </w:pPr>
            <w:r>
              <w:t>-3.6</w:t>
            </w:r>
          </w:p>
        </w:tc>
        <w:tc>
          <w:tcPr>
            <w:tcW w:w="1587" w:type="dxa"/>
            <w:shd w:val="clear" w:color="auto" w:fill="auto"/>
          </w:tcPr>
          <w:p w:rsidR="00707D28" w:rsidRDefault="00110E89" w:rsidP="00DA0596">
            <w:pPr>
              <w:jc w:val="center"/>
            </w:pPr>
            <w:r>
              <w:t>0</w:t>
            </w:r>
          </w:p>
        </w:tc>
      </w:tr>
      <w:tr w:rsidR="00707D28" w:rsidTr="00EC76ED">
        <w:tc>
          <w:tcPr>
            <w:tcW w:w="4640" w:type="dxa"/>
          </w:tcPr>
          <w:p w:rsidR="00707D28" w:rsidRDefault="00707D28" w:rsidP="00DA0596">
            <w:r>
              <w:t>Average Progress in Maths</w:t>
            </w:r>
          </w:p>
        </w:tc>
        <w:tc>
          <w:tcPr>
            <w:tcW w:w="1607" w:type="dxa"/>
          </w:tcPr>
          <w:p w:rsidR="00707D28" w:rsidRDefault="00110E89" w:rsidP="00DA0596">
            <w:pPr>
              <w:jc w:val="center"/>
            </w:pPr>
            <w:r>
              <w:t>1.7</w:t>
            </w:r>
          </w:p>
        </w:tc>
        <w:tc>
          <w:tcPr>
            <w:tcW w:w="1408" w:type="dxa"/>
            <w:shd w:val="clear" w:color="auto" w:fill="auto"/>
          </w:tcPr>
          <w:p w:rsidR="00707D28" w:rsidRDefault="00110E89" w:rsidP="00DA0596">
            <w:pPr>
              <w:jc w:val="center"/>
            </w:pPr>
            <w:r>
              <w:t>0.2</w:t>
            </w:r>
          </w:p>
        </w:tc>
        <w:tc>
          <w:tcPr>
            <w:tcW w:w="1587" w:type="dxa"/>
            <w:shd w:val="clear" w:color="auto" w:fill="auto"/>
          </w:tcPr>
          <w:p w:rsidR="00707D28" w:rsidRDefault="00110E89" w:rsidP="00DA0596">
            <w:pPr>
              <w:jc w:val="center"/>
            </w:pPr>
            <w:r>
              <w:t>0</w:t>
            </w:r>
          </w:p>
        </w:tc>
      </w:tr>
      <w:tr w:rsidR="00707D28" w:rsidTr="00707D28">
        <w:tc>
          <w:tcPr>
            <w:tcW w:w="4640" w:type="dxa"/>
          </w:tcPr>
          <w:p w:rsidR="00707D28" w:rsidRDefault="00707D28" w:rsidP="00DA0596">
            <w:r>
              <w:t>Percentage achieving a high standard in Reading</w:t>
            </w:r>
          </w:p>
        </w:tc>
        <w:tc>
          <w:tcPr>
            <w:tcW w:w="1607" w:type="dxa"/>
          </w:tcPr>
          <w:p w:rsidR="00707D28" w:rsidRDefault="00974AEC" w:rsidP="00DA0596">
            <w:pPr>
              <w:jc w:val="center"/>
            </w:pPr>
            <w:r>
              <w:t>46.7%</w:t>
            </w:r>
          </w:p>
        </w:tc>
        <w:tc>
          <w:tcPr>
            <w:tcW w:w="1408" w:type="dxa"/>
          </w:tcPr>
          <w:p w:rsidR="00707D28" w:rsidRDefault="00974AEC" w:rsidP="00DA0596">
            <w:pPr>
              <w:jc w:val="center"/>
            </w:pPr>
            <w:r>
              <w:t>22.2%</w:t>
            </w:r>
          </w:p>
        </w:tc>
        <w:tc>
          <w:tcPr>
            <w:tcW w:w="1587" w:type="dxa"/>
          </w:tcPr>
          <w:p w:rsidR="00707D28" w:rsidRDefault="00974AEC" w:rsidP="00DA0596">
            <w:pPr>
              <w:jc w:val="center"/>
            </w:pPr>
            <w:r>
              <w:t>28%</w:t>
            </w:r>
          </w:p>
        </w:tc>
      </w:tr>
      <w:tr w:rsidR="00707D28" w:rsidTr="00707D28">
        <w:tc>
          <w:tcPr>
            <w:tcW w:w="4640" w:type="dxa"/>
          </w:tcPr>
          <w:p w:rsidR="00707D28" w:rsidRDefault="00707D28" w:rsidP="00DA0596">
            <w:r>
              <w:t>Percentage achieving a high standard in Writing</w:t>
            </w:r>
          </w:p>
        </w:tc>
        <w:tc>
          <w:tcPr>
            <w:tcW w:w="1607" w:type="dxa"/>
          </w:tcPr>
          <w:p w:rsidR="00707D28" w:rsidRDefault="00974AEC" w:rsidP="00DA0596">
            <w:pPr>
              <w:jc w:val="center"/>
            </w:pPr>
            <w:r>
              <w:t>23.3%</w:t>
            </w:r>
          </w:p>
        </w:tc>
        <w:tc>
          <w:tcPr>
            <w:tcW w:w="1408" w:type="dxa"/>
          </w:tcPr>
          <w:p w:rsidR="00707D28" w:rsidRDefault="00974AEC" w:rsidP="00DA0596">
            <w:pPr>
              <w:jc w:val="center"/>
            </w:pPr>
            <w:r>
              <w:t>11.1%</w:t>
            </w:r>
          </w:p>
        </w:tc>
        <w:tc>
          <w:tcPr>
            <w:tcW w:w="1587" w:type="dxa"/>
          </w:tcPr>
          <w:p w:rsidR="00707D28" w:rsidRDefault="00974AEC" w:rsidP="00DA0596">
            <w:pPr>
              <w:jc w:val="center"/>
            </w:pPr>
            <w:r>
              <w:t>20%</w:t>
            </w:r>
          </w:p>
        </w:tc>
      </w:tr>
      <w:tr w:rsidR="00707D28" w:rsidTr="00707D28">
        <w:tc>
          <w:tcPr>
            <w:tcW w:w="4640" w:type="dxa"/>
          </w:tcPr>
          <w:p w:rsidR="00707D28" w:rsidRDefault="00707D28" w:rsidP="00DA0596">
            <w:r>
              <w:t>Percentage achieving a high standard in Grammar, Punctuation and Spelling</w:t>
            </w:r>
          </w:p>
        </w:tc>
        <w:tc>
          <w:tcPr>
            <w:tcW w:w="1607" w:type="dxa"/>
          </w:tcPr>
          <w:p w:rsidR="00707D28" w:rsidRDefault="00CD7E07" w:rsidP="00DA0596">
            <w:pPr>
              <w:jc w:val="center"/>
            </w:pPr>
            <w:r>
              <w:t>60%</w:t>
            </w:r>
          </w:p>
        </w:tc>
        <w:tc>
          <w:tcPr>
            <w:tcW w:w="1408" w:type="dxa"/>
          </w:tcPr>
          <w:p w:rsidR="00707D28" w:rsidRDefault="00CD7E07" w:rsidP="00DA0596">
            <w:pPr>
              <w:jc w:val="center"/>
            </w:pPr>
            <w:r>
              <w:t>33%</w:t>
            </w:r>
          </w:p>
        </w:tc>
        <w:tc>
          <w:tcPr>
            <w:tcW w:w="1587" w:type="dxa"/>
          </w:tcPr>
          <w:p w:rsidR="00707D28" w:rsidRDefault="00CD7E07" w:rsidP="00DA0596">
            <w:pPr>
              <w:jc w:val="center"/>
            </w:pPr>
            <w:r>
              <w:t>34%</w:t>
            </w:r>
          </w:p>
        </w:tc>
      </w:tr>
      <w:tr w:rsidR="00707D28" w:rsidTr="00707D28">
        <w:tc>
          <w:tcPr>
            <w:tcW w:w="4640" w:type="dxa"/>
          </w:tcPr>
          <w:p w:rsidR="00707D28" w:rsidRDefault="00707D28" w:rsidP="00DA0596">
            <w:r>
              <w:t>Percentage achieving a high standard in Maths</w:t>
            </w:r>
          </w:p>
        </w:tc>
        <w:tc>
          <w:tcPr>
            <w:tcW w:w="1607" w:type="dxa"/>
          </w:tcPr>
          <w:p w:rsidR="00707D28" w:rsidRDefault="00974AEC" w:rsidP="00DA0596">
            <w:pPr>
              <w:jc w:val="center"/>
            </w:pPr>
            <w:r>
              <w:t>50%</w:t>
            </w:r>
          </w:p>
        </w:tc>
        <w:tc>
          <w:tcPr>
            <w:tcW w:w="1408" w:type="dxa"/>
          </w:tcPr>
          <w:p w:rsidR="00707D28" w:rsidRDefault="00974AEC" w:rsidP="00DA0596">
            <w:pPr>
              <w:jc w:val="center"/>
            </w:pPr>
            <w:r>
              <w:t>33.3%</w:t>
            </w:r>
          </w:p>
        </w:tc>
        <w:tc>
          <w:tcPr>
            <w:tcW w:w="1587" w:type="dxa"/>
          </w:tcPr>
          <w:p w:rsidR="00707D28" w:rsidRDefault="00974AEC" w:rsidP="00DA0596">
            <w:pPr>
              <w:jc w:val="center"/>
            </w:pPr>
            <w:r>
              <w:t>24%</w:t>
            </w:r>
          </w:p>
        </w:tc>
      </w:tr>
      <w:tr w:rsidR="00707D28" w:rsidTr="00EC76ED">
        <w:tc>
          <w:tcPr>
            <w:tcW w:w="4640" w:type="dxa"/>
          </w:tcPr>
          <w:p w:rsidR="00707D28" w:rsidRDefault="00707D28" w:rsidP="00DA0596">
            <w:r>
              <w:t>Percentage achieving a high level in R,W and Ma</w:t>
            </w:r>
          </w:p>
        </w:tc>
        <w:tc>
          <w:tcPr>
            <w:tcW w:w="1607" w:type="dxa"/>
          </w:tcPr>
          <w:p w:rsidR="00707D28" w:rsidRDefault="00974AEC" w:rsidP="00DA0596">
            <w:pPr>
              <w:jc w:val="center"/>
            </w:pPr>
            <w:r>
              <w:t>13.3%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707D28" w:rsidRDefault="00974AEC" w:rsidP="00DA0596">
            <w:pPr>
              <w:jc w:val="center"/>
            </w:pPr>
            <w:r>
              <w:t>11.1%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707D28" w:rsidRDefault="00974AEC" w:rsidP="00DA0596">
            <w:pPr>
              <w:jc w:val="center"/>
            </w:pPr>
            <w:r>
              <w:t>10%</w:t>
            </w:r>
          </w:p>
        </w:tc>
      </w:tr>
      <w:tr w:rsidR="00707D28" w:rsidTr="00EC76ED">
        <w:tc>
          <w:tcPr>
            <w:tcW w:w="4640" w:type="dxa"/>
          </w:tcPr>
          <w:p w:rsidR="00707D28" w:rsidRDefault="00707D28" w:rsidP="00DA0596">
            <w:r>
              <w:t>Average scaled score in Reading</w:t>
            </w:r>
          </w:p>
        </w:tc>
        <w:tc>
          <w:tcPr>
            <w:tcW w:w="1607" w:type="dxa"/>
          </w:tcPr>
          <w:p w:rsidR="00707D28" w:rsidRDefault="00CD7E07" w:rsidP="00DA0596">
            <w:pPr>
              <w:jc w:val="center"/>
            </w:pPr>
            <w:r>
              <w:t>107.6</w:t>
            </w:r>
          </w:p>
        </w:tc>
        <w:tc>
          <w:tcPr>
            <w:tcW w:w="1408" w:type="dxa"/>
            <w:shd w:val="clear" w:color="auto" w:fill="auto"/>
          </w:tcPr>
          <w:p w:rsidR="00707D28" w:rsidRDefault="00CD7E07" w:rsidP="00DA0596">
            <w:pPr>
              <w:jc w:val="center"/>
            </w:pPr>
            <w:r>
              <w:t>103.6</w:t>
            </w:r>
          </w:p>
        </w:tc>
        <w:tc>
          <w:tcPr>
            <w:tcW w:w="1587" w:type="dxa"/>
            <w:shd w:val="clear" w:color="auto" w:fill="auto"/>
          </w:tcPr>
          <w:p w:rsidR="00707D28" w:rsidRDefault="00CD7E07" w:rsidP="00DA0596">
            <w:pPr>
              <w:jc w:val="center"/>
            </w:pPr>
            <w:r>
              <w:t>105</w:t>
            </w:r>
          </w:p>
        </w:tc>
      </w:tr>
      <w:tr w:rsidR="00707D28" w:rsidTr="00EC76ED">
        <w:tc>
          <w:tcPr>
            <w:tcW w:w="4640" w:type="dxa"/>
          </w:tcPr>
          <w:p w:rsidR="00707D28" w:rsidRDefault="00707D28" w:rsidP="00DA0596">
            <w:r>
              <w:t>Average scaled score in Maths</w:t>
            </w:r>
          </w:p>
        </w:tc>
        <w:tc>
          <w:tcPr>
            <w:tcW w:w="1607" w:type="dxa"/>
          </w:tcPr>
          <w:p w:rsidR="00707D28" w:rsidRDefault="00CD7E07" w:rsidP="00DA0596">
            <w:pPr>
              <w:jc w:val="center"/>
            </w:pPr>
            <w:r>
              <w:t>107.2</w:t>
            </w:r>
          </w:p>
        </w:tc>
        <w:tc>
          <w:tcPr>
            <w:tcW w:w="1408" w:type="dxa"/>
            <w:shd w:val="clear" w:color="auto" w:fill="auto"/>
          </w:tcPr>
          <w:p w:rsidR="00707D28" w:rsidRDefault="00CD7E07" w:rsidP="00DA0596">
            <w:pPr>
              <w:jc w:val="center"/>
            </w:pPr>
            <w:r>
              <w:t>104</w:t>
            </w:r>
          </w:p>
        </w:tc>
        <w:tc>
          <w:tcPr>
            <w:tcW w:w="1587" w:type="dxa"/>
            <w:shd w:val="clear" w:color="auto" w:fill="auto"/>
          </w:tcPr>
          <w:p w:rsidR="00707D28" w:rsidRDefault="00CD7E07" w:rsidP="00DA0596">
            <w:pPr>
              <w:jc w:val="center"/>
            </w:pPr>
            <w:r>
              <w:t>104.4</w:t>
            </w:r>
          </w:p>
        </w:tc>
      </w:tr>
      <w:tr w:rsidR="00707D28" w:rsidTr="00EC76ED">
        <w:tc>
          <w:tcPr>
            <w:tcW w:w="4640" w:type="dxa"/>
          </w:tcPr>
          <w:p w:rsidR="00707D28" w:rsidRDefault="00707D28" w:rsidP="00DA0596">
            <w:r>
              <w:t>Average scaled score in Grammar, Punctuation and Spelling</w:t>
            </w:r>
          </w:p>
        </w:tc>
        <w:tc>
          <w:tcPr>
            <w:tcW w:w="1607" w:type="dxa"/>
          </w:tcPr>
          <w:p w:rsidR="00707D28" w:rsidRDefault="00CD7E07" w:rsidP="00DA0596">
            <w:pPr>
              <w:jc w:val="center"/>
            </w:pPr>
            <w:r>
              <w:t>110.6</w:t>
            </w:r>
          </w:p>
        </w:tc>
        <w:tc>
          <w:tcPr>
            <w:tcW w:w="1408" w:type="dxa"/>
            <w:shd w:val="clear" w:color="auto" w:fill="auto"/>
          </w:tcPr>
          <w:p w:rsidR="00707D28" w:rsidRDefault="00CD7E07" w:rsidP="00DA0596">
            <w:pPr>
              <w:jc w:val="center"/>
            </w:pPr>
            <w:r>
              <w:t>106.6</w:t>
            </w:r>
          </w:p>
        </w:tc>
        <w:tc>
          <w:tcPr>
            <w:tcW w:w="1587" w:type="dxa"/>
            <w:shd w:val="clear" w:color="auto" w:fill="auto"/>
          </w:tcPr>
          <w:p w:rsidR="00707D28" w:rsidRDefault="00CD7E07" w:rsidP="00DA0596">
            <w:pPr>
              <w:jc w:val="center"/>
            </w:pPr>
            <w:r>
              <w:t>106.2</w:t>
            </w:r>
          </w:p>
        </w:tc>
      </w:tr>
    </w:tbl>
    <w:p w:rsidR="00C97BA7" w:rsidRDefault="00C97BA7">
      <w:pPr>
        <w:rPr>
          <w:b/>
        </w:rPr>
      </w:pPr>
    </w:p>
    <w:p w:rsidR="00DA0596" w:rsidRPr="00DE6345" w:rsidRDefault="00236DC2">
      <w:r>
        <w:t>Although c</w:t>
      </w:r>
      <w:r w:rsidR="0088529E" w:rsidRPr="00DA0596">
        <w:t>hildren</w:t>
      </w:r>
      <w:r w:rsidR="0088529E">
        <w:t xml:space="preserve"> eligible for </w:t>
      </w:r>
      <w:r w:rsidR="00DA0596" w:rsidRPr="00DA0596">
        <w:t>Pu</w:t>
      </w:r>
      <w:r w:rsidR="0088529E">
        <w:t>pil P</w:t>
      </w:r>
      <w:r w:rsidR="00EC76ED">
        <w:t xml:space="preserve">remium </w:t>
      </w:r>
      <w:r w:rsidR="0088529E">
        <w:t>are</w:t>
      </w:r>
      <w:r>
        <w:t xml:space="preserve"> below Non Pupil Premium children they are equal </w:t>
      </w:r>
      <w:proofErr w:type="gramStart"/>
      <w:r>
        <w:t xml:space="preserve">to </w:t>
      </w:r>
      <w:r w:rsidR="00110E89">
        <w:t xml:space="preserve"> or</w:t>
      </w:r>
      <w:proofErr w:type="gramEnd"/>
      <w:r w:rsidR="00DA0596" w:rsidRPr="00DA0596">
        <w:t xml:space="preserve"> above the National in all areas</w:t>
      </w:r>
      <w:r w:rsidR="00EC76ED">
        <w:t xml:space="preserve"> at </w:t>
      </w:r>
      <w:r w:rsidR="00110E89">
        <w:t>the expected standard</w:t>
      </w:r>
      <w:r w:rsidR="004C1468">
        <w:t>.</w:t>
      </w:r>
      <w:r w:rsidR="009E52D4">
        <w:t xml:space="preserve"> </w:t>
      </w:r>
      <w:r>
        <w:t xml:space="preserve">In Maths Pupil Premium children are above national at the standard and also achieving a higher standard. This reflects the focus on Mastery Maths over 2017/18. </w:t>
      </w:r>
      <w:r w:rsidR="0084455B">
        <w:t>Ensuring that</w:t>
      </w:r>
      <w:r w:rsidR="004C1468">
        <w:t xml:space="preserve"> Pupil Premium children achieve w</w:t>
      </w:r>
      <w:r w:rsidR="0084455B">
        <w:t>ell will continue to be a focus and there will be a specific focus on boys writing across the school 2018/19.</w:t>
      </w:r>
      <w:r w:rsidR="00DE07DC">
        <w:t xml:space="preserve"> Some Pupil Premium children will also be targeted to achieve the higher standard particularly in reading and writing to improve further.</w:t>
      </w:r>
    </w:p>
    <w:p w:rsidR="00DA0596" w:rsidRPr="00DE6345" w:rsidRDefault="00DA0596">
      <w:pPr>
        <w:rPr>
          <w:b/>
        </w:rPr>
      </w:pPr>
    </w:p>
    <w:p w:rsidR="00CA4AE2" w:rsidRPr="00DE6345" w:rsidRDefault="00A26C1D">
      <w:pPr>
        <w:rPr>
          <w:b/>
        </w:rPr>
      </w:pPr>
      <w:r>
        <w:rPr>
          <w:b/>
        </w:rPr>
        <w:t>Key Stage 1 Data June 2018</w:t>
      </w:r>
    </w:p>
    <w:p w:rsidR="00CA4AE2" w:rsidRPr="00DE6345" w:rsidRDefault="00CA4AE2">
      <w:pPr>
        <w:rPr>
          <w:b/>
        </w:rPr>
      </w:pPr>
      <w:r w:rsidRPr="00DE6345">
        <w:rPr>
          <w:b/>
        </w:rPr>
        <w:t>% Expected Standard or above</w:t>
      </w:r>
    </w:p>
    <w:tbl>
      <w:tblPr>
        <w:tblStyle w:val="TableGrid"/>
        <w:tblW w:w="9286" w:type="dxa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322"/>
      </w:tblGrid>
      <w:tr w:rsidR="00CA4AE2" w:rsidRPr="00DE6345" w:rsidTr="00416672">
        <w:trPr>
          <w:trHeight w:val="269"/>
        </w:trPr>
        <w:tc>
          <w:tcPr>
            <w:tcW w:w="2321" w:type="dxa"/>
          </w:tcPr>
          <w:p w:rsidR="00CA4AE2" w:rsidRPr="00DE6345" w:rsidRDefault="00CA4AE2" w:rsidP="00CA4AE2">
            <w:pPr>
              <w:jc w:val="center"/>
            </w:pPr>
            <w:r w:rsidRPr="00DE6345">
              <w:t>Subject</w:t>
            </w:r>
          </w:p>
        </w:tc>
        <w:tc>
          <w:tcPr>
            <w:tcW w:w="2321" w:type="dxa"/>
          </w:tcPr>
          <w:p w:rsidR="00CA4AE2" w:rsidRPr="00DE6345" w:rsidRDefault="00CA4AE2" w:rsidP="00CA4AE2">
            <w:pPr>
              <w:jc w:val="center"/>
              <w:rPr>
                <w:b/>
              </w:rPr>
            </w:pPr>
            <w:r w:rsidRPr="00DE6345">
              <w:rPr>
                <w:b/>
              </w:rPr>
              <w:t>School</w:t>
            </w:r>
          </w:p>
        </w:tc>
        <w:tc>
          <w:tcPr>
            <w:tcW w:w="2322" w:type="dxa"/>
          </w:tcPr>
          <w:p w:rsidR="00CA4AE2" w:rsidRPr="00DE6345" w:rsidRDefault="00CA4AE2" w:rsidP="00CA4AE2">
            <w:pPr>
              <w:jc w:val="center"/>
              <w:rPr>
                <w:b/>
              </w:rPr>
            </w:pPr>
            <w:r w:rsidRPr="00DE6345">
              <w:rPr>
                <w:b/>
              </w:rPr>
              <w:t>National</w:t>
            </w:r>
          </w:p>
        </w:tc>
        <w:tc>
          <w:tcPr>
            <w:tcW w:w="2322" w:type="dxa"/>
          </w:tcPr>
          <w:p w:rsidR="00CA4AE2" w:rsidRPr="00DE6345" w:rsidRDefault="00CA4AE2" w:rsidP="00CA4AE2">
            <w:pPr>
              <w:jc w:val="center"/>
              <w:rPr>
                <w:b/>
              </w:rPr>
            </w:pPr>
            <w:r w:rsidRPr="00DE6345">
              <w:rPr>
                <w:b/>
              </w:rPr>
              <w:t>Pupil Premium</w:t>
            </w:r>
          </w:p>
        </w:tc>
      </w:tr>
      <w:tr w:rsidR="00CA4AE2" w:rsidRPr="00DE6345" w:rsidTr="00416672">
        <w:trPr>
          <w:trHeight w:val="254"/>
        </w:trPr>
        <w:tc>
          <w:tcPr>
            <w:tcW w:w="2321" w:type="dxa"/>
          </w:tcPr>
          <w:p w:rsidR="00CA4AE2" w:rsidRPr="00DE6345" w:rsidRDefault="00CA4AE2" w:rsidP="00CA4AE2">
            <w:pPr>
              <w:jc w:val="center"/>
              <w:rPr>
                <w:b/>
              </w:rPr>
            </w:pPr>
            <w:r w:rsidRPr="00DE6345">
              <w:rPr>
                <w:b/>
              </w:rPr>
              <w:t>Reading</w:t>
            </w:r>
          </w:p>
        </w:tc>
        <w:tc>
          <w:tcPr>
            <w:tcW w:w="2321" w:type="dxa"/>
          </w:tcPr>
          <w:p w:rsidR="00CA4AE2" w:rsidRPr="00DE6345" w:rsidRDefault="00A26C1D" w:rsidP="00CA4AE2">
            <w:pPr>
              <w:jc w:val="center"/>
            </w:pPr>
            <w:r>
              <w:t>84.8%</w:t>
            </w:r>
            <w:r w:rsidR="008C20DD">
              <w:t xml:space="preserve"> (46)</w:t>
            </w:r>
          </w:p>
        </w:tc>
        <w:tc>
          <w:tcPr>
            <w:tcW w:w="2322" w:type="dxa"/>
          </w:tcPr>
          <w:p w:rsidR="00CA4AE2" w:rsidRPr="00DE6345" w:rsidRDefault="00A26C1D" w:rsidP="00CA4AE2">
            <w:pPr>
              <w:jc w:val="center"/>
            </w:pPr>
            <w:r>
              <w:t>75.4%</w:t>
            </w:r>
          </w:p>
        </w:tc>
        <w:tc>
          <w:tcPr>
            <w:tcW w:w="2322" w:type="dxa"/>
          </w:tcPr>
          <w:p w:rsidR="00CA4AE2" w:rsidRPr="00DE6345" w:rsidRDefault="00A26C1D" w:rsidP="00CA4AE2">
            <w:pPr>
              <w:jc w:val="center"/>
            </w:pPr>
            <w:r>
              <w:t>63.6%</w:t>
            </w:r>
            <w:r w:rsidR="008C20DD">
              <w:t xml:space="preserve"> (11)</w:t>
            </w:r>
          </w:p>
        </w:tc>
      </w:tr>
      <w:tr w:rsidR="00CA4AE2" w:rsidRPr="00DE6345" w:rsidTr="00416672">
        <w:trPr>
          <w:trHeight w:val="269"/>
        </w:trPr>
        <w:tc>
          <w:tcPr>
            <w:tcW w:w="2321" w:type="dxa"/>
          </w:tcPr>
          <w:p w:rsidR="00CA4AE2" w:rsidRPr="00DE6345" w:rsidRDefault="00CA4AE2" w:rsidP="00CA4AE2">
            <w:pPr>
              <w:jc w:val="center"/>
              <w:rPr>
                <w:b/>
              </w:rPr>
            </w:pPr>
            <w:r w:rsidRPr="00DE6345">
              <w:rPr>
                <w:b/>
              </w:rPr>
              <w:t>Writing</w:t>
            </w:r>
          </w:p>
        </w:tc>
        <w:tc>
          <w:tcPr>
            <w:tcW w:w="2321" w:type="dxa"/>
          </w:tcPr>
          <w:p w:rsidR="00CA4AE2" w:rsidRPr="00DE6345" w:rsidRDefault="00A26C1D" w:rsidP="00CA4AE2">
            <w:pPr>
              <w:jc w:val="center"/>
            </w:pPr>
            <w:r>
              <w:t>73.9%</w:t>
            </w:r>
            <w:r w:rsidR="008C20DD">
              <w:t xml:space="preserve"> (46)</w:t>
            </w:r>
          </w:p>
        </w:tc>
        <w:tc>
          <w:tcPr>
            <w:tcW w:w="2322" w:type="dxa"/>
          </w:tcPr>
          <w:p w:rsidR="00CA4AE2" w:rsidRPr="00DE6345" w:rsidRDefault="00A26C1D" w:rsidP="00CA4AE2">
            <w:pPr>
              <w:jc w:val="center"/>
            </w:pPr>
            <w:r>
              <w:t>69.9%</w:t>
            </w:r>
          </w:p>
        </w:tc>
        <w:tc>
          <w:tcPr>
            <w:tcW w:w="2322" w:type="dxa"/>
          </w:tcPr>
          <w:p w:rsidR="00CA4AE2" w:rsidRPr="00DE6345" w:rsidRDefault="00A26C1D" w:rsidP="00CA4AE2">
            <w:pPr>
              <w:jc w:val="center"/>
            </w:pPr>
            <w:r>
              <w:t>54.5%</w:t>
            </w:r>
            <w:r w:rsidR="008C20DD">
              <w:t xml:space="preserve"> (11)</w:t>
            </w:r>
          </w:p>
        </w:tc>
      </w:tr>
      <w:tr w:rsidR="00CA4AE2" w:rsidRPr="00DE6345" w:rsidTr="00416672">
        <w:trPr>
          <w:trHeight w:val="254"/>
        </w:trPr>
        <w:tc>
          <w:tcPr>
            <w:tcW w:w="2321" w:type="dxa"/>
          </w:tcPr>
          <w:p w:rsidR="00CA4AE2" w:rsidRPr="00DE6345" w:rsidRDefault="00CA4AE2" w:rsidP="00CA4AE2">
            <w:pPr>
              <w:jc w:val="center"/>
              <w:rPr>
                <w:b/>
              </w:rPr>
            </w:pPr>
            <w:r w:rsidRPr="00DE6345">
              <w:rPr>
                <w:b/>
              </w:rPr>
              <w:t>Maths</w:t>
            </w:r>
          </w:p>
        </w:tc>
        <w:tc>
          <w:tcPr>
            <w:tcW w:w="2321" w:type="dxa"/>
          </w:tcPr>
          <w:p w:rsidR="00CA4AE2" w:rsidRPr="00DE6345" w:rsidRDefault="00A26C1D" w:rsidP="00CA4AE2">
            <w:pPr>
              <w:jc w:val="center"/>
            </w:pPr>
            <w:r>
              <w:t>82.6%</w:t>
            </w:r>
            <w:r w:rsidR="008C20DD">
              <w:t xml:space="preserve"> (46)</w:t>
            </w:r>
          </w:p>
        </w:tc>
        <w:tc>
          <w:tcPr>
            <w:tcW w:w="2322" w:type="dxa"/>
          </w:tcPr>
          <w:p w:rsidR="00CA4AE2" w:rsidRPr="00DE6345" w:rsidRDefault="00A26C1D" w:rsidP="00CA4AE2">
            <w:pPr>
              <w:jc w:val="center"/>
            </w:pPr>
            <w:r>
              <w:t>76.1%</w:t>
            </w:r>
          </w:p>
        </w:tc>
        <w:tc>
          <w:tcPr>
            <w:tcW w:w="2322" w:type="dxa"/>
          </w:tcPr>
          <w:p w:rsidR="00CA4AE2" w:rsidRPr="00DE6345" w:rsidRDefault="00A26C1D" w:rsidP="00CA4AE2">
            <w:pPr>
              <w:jc w:val="center"/>
            </w:pPr>
            <w:r>
              <w:t>54.5%</w:t>
            </w:r>
            <w:r w:rsidR="008C20DD">
              <w:t xml:space="preserve"> (11)</w:t>
            </w:r>
          </w:p>
        </w:tc>
      </w:tr>
      <w:tr w:rsidR="00CA4AE2" w:rsidRPr="00DE6345" w:rsidTr="00416672">
        <w:trPr>
          <w:trHeight w:val="284"/>
        </w:trPr>
        <w:tc>
          <w:tcPr>
            <w:tcW w:w="2321" w:type="dxa"/>
          </w:tcPr>
          <w:p w:rsidR="00CA4AE2" w:rsidRPr="00DE6345" w:rsidRDefault="00CA4AE2" w:rsidP="00CA4AE2">
            <w:pPr>
              <w:jc w:val="center"/>
              <w:rPr>
                <w:b/>
              </w:rPr>
            </w:pPr>
            <w:r w:rsidRPr="00DE6345">
              <w:rPr>
                <w:b/>
              </w:rPr>
              <w:t>R,W,M</w:t>
            </w:r>
          </w:p>
        </w:tc>
        <w:tc>
          <w:tcPr>
            <w:tcW w:w="2321" w:type="dxa"/>
          </w:tcPr>
          <w:p w:rsidR="00CA4AE2" w:rsidRPr="00DE6345" w:rsidRDefault="00A26C1D" w:rsidP="00CA4AE2">
            <w:pPr>
              <w:jc w:val="center"/>
            </w:pPr>
            <w:r>
              <w:t>69.6%</w:t>
            </w:r>
            <w:r w:rsidR="008C20DD">
              <w:t xml:space="preserve"> (46)</w:t>
            </w:r>
          </w:p>
        </w:tc>
        <w:tc>
          <w:tcPr>
            <w:tcW w:w="2322" w:type="dxa"/>
          </w:tcPr>
          <w:p w:rsidR="00CA4AE2" w:rsidRPr="00DE6345" w:rsidRDefault="00A26C1D" w:rsidP="00CA4AE2">
            <w:pPr>
              <w:jc w:val="center"/>
            </w:pPr>
            <w:r>
              <w:t>65.3%</w:t>
            </w:r>
          </w:p>
        </w:tc>
        <w:tc>
          <w:tcPr>
            <w:tcW w:w="2322" w:type="dxa"/>
          </w:tcPr>
          <w:p w:rsidR="00CA4AE2" w:rsidRPr="00DE6345" w:rsidRDefault="00A26C1D" w:rsidP="00CA4AE2">
            <w:pPr>
              <w:jc w:val="center"/>
            </w:pPr>
            <w:r>
              <w:t>45.5%</w:t>
            </w:r>
            <w:r w:rsidR="008C20DD">
              <w:t xml:space="preserve"> (11)</w:t>
            </w:r>
          </w:p>
        </w:tc>
      </w:tr>
    </w:tbl>
    <w:p w:rsidR="00416672" w:rsidRDefault="00416672">
      <w:r w:rsidRPr="00416672">
        <w:lastRenderedPageBreak/>
        <w:t>Pupil Premium children</w:t>
      </w:r>
      <w:r>
        <w:rPr>
          <w:b/>
        </w:rPr>
        <w:t xml:space="preserve"> </w:t>
      </w:r>
      <w:r w:rsidRPr="00416672">
        <w:t xml:space="preserve">performed better in </w:t>
      </w:r>
      <w:proofErr w:type="gramStart"/>
      <w:r w:rsidRPr="00416672">
        <w:t>reading</w:t>
      </w:r>
      <w:r>
        <w:t>,</w:t>
      </w:r>
      <w:proofErr w:type="gramEnd"/>
      <w:r w:rsidRPr="00416672">
        <w:t xml:space="preserve"> however they were still below national and well below Non-Pupil Premium children in the school.</w:t>
      </w:r>
      <w:r w:rsidR="00DE07DC">
        <w:t xml:space="preserve"> A Mastery </w:t>
      </w:r>
      <w:r>
        <w:t xml:space="preserve">Maths </w:t>
      </w:r>
      <w:r w:rsidR="00DE07DC">
        <w:t xml:space="preserve">approach </w:t>
      </w:r>
      <w:r>
        <w:t>was introduced 2017/18 whereby children and staff were addressing many changes. 2018/19 will focus on the embedding of Mastery Maths and children will be much more confident at using app</w:t>
      </w:r>
      <w:r w:rsidR="00F10169">
        <w:t>aratus to support understanding.</w:t>
      </w:r>
      <w:r w:rsidR="00A2415F">
        <w:t xml:space="preserve"> There will also be a focus on boys writing. </w:t>
      </w:r>
      <w:r w:rsidR="00F10169">
        <w:t xml:space="preserve"> 5 of the 11 Pupil Premium children are on the SEN register for specific numeracy and/or literacy learning difficulties.  </w:t>
      </w:r>
      <w:r>
        <w:t xml:space="preserve">    </w:t>
      </w:r>
    </w:p>
    <w:p w:rsidR="00F10169" w:rsidRPr="00416672" w:rsidRDefault="00F10169"/>
    <w:p w:rsidR="00CA4AE2" w:rsidRPr="00CA4AE2" w:rsidRDefault="00CA4AE2">
      <w:pPr>
        <w:rPr>
          <w:b/>
        </w:rPr>
      </w:pPr>
      <w:r>
        <w:rPr>
          <w:b/>
        </w:rPr>
        <w:t xml:space="preserve">% </w:t>
      </w:r>
      <w:proofErr w:type="gramStart"/>
      <w:r>
        <w:rPr>
          <w:b/>
        </w:rPr>
        <w:t>Above</w:t>
      </w:r>
      <w:proofErr w:type="gramEnd"/>
      <w:r>
        <w:rPr>
          <w:b/>
        </w:rPr>
        <w:t xml:space="preserve"> Standard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A4AE2" w:rsidTr="00DA0596">
        <w:tc>
          <w:tcPr>
            <w:tcW w:w="2310" w:type="dxa"/>
          </w:tcPr>
          <w:p w:rsidR="00CA4AE2" w:rsidRPr="00CA4AE2" w:rsidRDefault="00CA4AE2" w:rsidP="00DA0596">
            <w:pPr>
              <w:jc w:val="center"/>
            </w:pPr>
            <w:r w:rsidRPr="00CA4AE2">
              <w:t>Subject</w:t>
            </w:r>
          </w:p>
        </w:tc>
        <w:tc>
          <w:tcPr>
            <w:tcW w:w="2310" w:type="dxa"/>
          </w:tcPr>
          <w:p w:rsidR="00CA4AE2" w:rsidRPr="00CA4AE2" w:rsidRDefault="00CA4AE2" w:rsidP="00DA0596">
            <w:pPr>
              <w:jc w:val="center"/>
              <w:rPr>
                <w:b/>
              </w:rPr>
            </w:pPr>
            <w:r w:rsidRPr="00CA4AE2">
              <w:rPr>
                <w:b/>
              </w:rPr>
              <w:t>School</w:t>
            </w:r>
          </w:p>
        </w:tc>
        <w:tc>
          <w:tcPr>
            <w:tcW w:w="2311" w:type="dxa"/>
          </w:tcPr>
          <w:p w:rsidR="00CA4AE2" w:rsidRPr="00CA4AE2" w:rsidRDefault="00CA4AE2" w:rsidP="00DA0596">
            <w:pPr>
              <w:jc w:val="center"/>
              <w:rPr>
                <w:b/>
              </w:rPr>
            </w:pPr>
            <w:r w:rsidRPr="00CA4AE2">
              <w:rPr>
                <w:b/>
              </w:rPr>
              <w:t>National</w:t>
            </w:r>
          </w:p>
        </w:tc>
        <w:tc>
          <w:tcPr>
            <w:tcW w:w="2311" w:type="dxa"/>
          </w:tcPr>
          <w:p w:rsidR="00CA4AE2" w:rsidRPr="00CA4AE2" w:rsidRDefault="00CA4AE2" w:rsidP="00DA0596">
            <w:pPr>
              <w:jc w:val="center"/>
              <w:rPr>
                <w:b/>
              </w:rPr>
            </w:pPr>
            <w:r w:rsidRPr="00CA4AE2">
              <w:rPr>
                <w:b/>
              </w:rPr>
              <w:t>Pupil Premium</w:t>
            </w:r>
          </w:p>
        </w:tc>
      </w:tr>
      <w:tr w:rsidR="00CA4AE2" w:rsidTr="00DA0596">
        <w:tc>
          <w:tcPr>
            <w:tcW w:w="2310" w:type="dxa"/>
          </w:tcPr>
          <w:p w:rsidR="00CA4AE2" w:rsidRPr="00CA4AE2" w:rsidRDefault="00CA4AE2" w:rsidP="00DA0596">
            <w:pPr>
              <w:jc w:val="center"/>
              <w:rPr>
                <w:b/>
              </w:rPr>
            </w:pPr>
            <w:r w:rsidRPr="00CA4AE2">
              <w:rPr>
                <w:b/>
              </w:rPr>
              <w:t>Reading</w:t>
            </w:r>
          </w:p>
        </w:tc>
        <w:tc>
          <w:tcPr>
            <w:tcW w:w="2310" w:type="dxa"/>
          </w:tcPr>
          <w:p w:rsidR="00CA4AE2" w:rsidRDefault="00A26C1D" w:rsidP="00DA0596">
            <w:pPr>
              <w:jc w:val="center"/>
            </w:pPr>
            <w:r>
              <w:t>19.6%</w:t>
            </w:r>
            <w:r w:rsidR="008C20DD">
              <w:t xml:space="preserve"> (46)</w:t>
            </w:r>
          </w:p>
        </w:tc>
        <w:tc>
          <w:tcPr>
            <w:tcW w:w="2311" w:type="dxa"/>
          </w:tcPr>
          <w:p w:rsidR="00CA4AE2" w:rsidRDefault="00A26C1D" w:rsidP="00DA0596">
            <w:pPr>
              <w:jc w:val="center"/>
            </w:pPr>
            <w:r>
              <w:t>25.6%</w:t>
            </w:r>
          </w:p>
        </w:tc>
        <w:tc>
          <w:tcPr>
            <w:tcW w:w="2311" w:type="dxa"/>
          </w:tcPr>
          <w:p w:rsidR="00CA4AE2" w:rsidRDefault="00974AEC" w:rsidP="00DA0596">
            <w:pPr>
              <w:jc w:val="center"/>
            </w:pPr>
            <w:r>
              <w:t>0.0%</w:t>
            </w:r>
            <w:r w:rsidR="008C20DD">
              <w:t xml:space="preserve"> (11)</w:t>
            </w:r>
          </w:p>
        </w:tc>
      </w:tr>
      <w:tr w:rsidR="00CA4AE2" w:rsidTr="00DA0596">
        <w:tc>
          <w:tcPr>
            <w:tcW w:w="2310" w:type="dxa"/>
          </w:tcPr>
          <w:p w:rsidR="00CA4AE2" w:rsidRPr="00CA4AE2" w:rsidRDefault="00CA4AE2" w:rsidP="00DA0596">
            <w:pPr>
              <w:jc w:val="center"/>
              <w:rPr>
                <w:b/>
              </w:rPr>
            </w:pPr>
            <w:r w:rsidRPr="00CA4AE2">
              <w:rPr>
                <w:b/>
              </w:rPr>
              <w:t>Writing</w:t>
            </w:r>
          </w:p>
        </w:tc>
        <w:tc>
          <w:tcPr>
            <w:tcW w:w="2310" w:type="dxa"/>
          </w:tcPr>
          <w:p w:rsidR="00CA4AE2" w:rsidRDefault="00A26C1D" w:rsidP="00DA0596">
            <w:pPr>
              <w:jc w:val="center"/>
            </w:pPr>
            <w:r>
              <w:t>8.7%</w:t>
            </w:r>
            <w:r w:rsidR="008C20DD">
              <w:t xml:space="preserve"> (46)</w:t>
            </w:r>
          </w:p>
        </w:tc>
        <w:tc>
          <w:tcPr>
            <w:tcW w:w="2311" w:type="dxa"/>
          </w:tcPr>
          <w:p w:rsidR="00CA4AE2" w:rsidRDefault="00A26C1D" w:rsidP="00DA0596">
            <w:pPr>
              <w:jc w:val="center"/>
            </w:pPr>
            <w:r>
              <w:t>15.9%</w:t>
            </w:r>
          </w:p>
        </w:tc>
        <w:tc>
          <w:tcPr>
            <w:tcW w:w="2311" w:type="dxa"/>
          </w:tcPr>
          <w:p w:rsidR="00CA4AE2" w:rsidRDefault="00974AEC" w:rsidP="00DA0596">
            <w:pPr>
              <w:jc w:val="center"/>
            </w:pPr>
            <w:r>
              <w:t>0.0%</w:t>
            </w:r>
            <w:r w:rsidR="008C20DD">
              <w:t xml:space="preserve"> (11)</w:t>
            </w:r>
          </w:p>
        </w:tc>
      </w:tr>
      <w:tr w:rsidR="00CA4AE2" w:rsidTr="00DA0596">
        <w:tc>
          <w:tcPr>
            <w:tcW w:w="2310" w:type="dxa"/>
          </w:tcPr>
          <w:p w:rsidR="00CA4AE2" w:rsidRPr="00CA4AE2" w:rsidRDefault="00CA4AE2" w:rsidP="00DA0596">
            <w:pPr>
              <w:jc w:val="center"/>
              <w:rPr>
                <w:b/>
              </w:rPr>
            </w:pPr>
            <w:r w:rsidRPr="00CA4AE2">
              <w:rPr>
                <w:b/>
              </w:rPr>
              <w:t>Maths</w:t>
            </w:r>
          </w:p>
        </w:tc>
        <w:tc>
          <w:tcPr>
            <w:tcW w:w="2310" w:type="dxa"/>
          </w:tcPr>
          <w:p w:rsidR="00CA4AE2" w:rsidRDefault="00A26C1D" w:rsidP="00DA0596">
            <w:pPr>
              <w:jc w:val="center"/>
            </w:pPr>
            <w:r>
              <w:t>17.4%</w:t>
            </w:r>
            <w:r w:rsidR="008C20DD">
              <w:t xml:space="preserve"> (46)</w:t>
            </w:r>
          </w:p>
        </w:tc>
        <w:tc>
          <w:tcPr>
            <w:tcW w:w="2311" w:type="dxa"/>
          </w:tcPr>
          <w:p w:rsidR="00CA4AE2" w:rsidRDefault="00A26C1D" w:rsidP="00DA0596">
            <w:pPr>
              <w:jc w:val="center"/>
            </w:pPr>
            <w:r>
              <w:t>21.8%</w:t>
            </w:r>
          </w:p>
        </w:tc>
        <w:tc>
          <w:tcPr>
            <w:tcW w:w="2311" w:type="dxa"/>
          </w:tcPr>
          <w:p w:rsidR="00CA4AE2" w:rsidRDefault="00974AEC" w:rsidP="00DA0596">
            <w:pPr>
              <w:jc w:val="center"/>
            </w:pPr>
            <w:r>
              <w:t>0.0%</w:t>
            </w:r>
            <w:r w:rsidR="008C20DD">
              <w:t xml:space="preserve"> (11)</w:t>
            </w:r>
          </w:p>
        </w:tc>
      </w:tr>
      <w:tr w:rsidR="00CA4AE2" w:rsidTr="00DA0596">
        <w:tc>
          <w:tcPr>
            <w:tcW w:w="2310" w:type="dxa"/>
          </w:tcPr>
          <w:p w:rsidR="00CA4AE2" w:rsidRPr="00CA4AE2" w:rsidRDefault="00CA4AE2" w:rsidP="00DA0596">
            <w:pPr>
              <w:jc w:val="center"/>
              <w:rPr>
                <w:b/>
              </w:rPr>
            </w:pPr>
            <w:r w:rsidRPr="00CA4AE2">
              <w:rPr>
                <w:b/>
              </w:rPr>
              <w:t>R,W,M</w:t>
            </w:r>
          </w:p>
        </w:tc>
        <w:tc>
          <w:tcPr>
            <w:tcW w:w="2310" w:type="dxa"/>
          </w:tcPr>
          <w:p w:rsidR="00CA4AE2" w:rsidRDefault="00A26C1D" w:rsidP="00DA0596">
            <w:pPr>
              <w:jc w:val="center"/>
            </w:pPr>
            <w:r>
              <w:t>6.5%</w:t>
            </w:r>
            <w:r w:rsidR="008C20DD">
              <w:t xml:space="preserve"> (46)</w:t>
            </w:r>
          </w:p>
        </w:tc>
        <w:tc>
          <w:tcPr>
            <w:tcW w:w="2311" w:type="dxa"/>
          </w:tcPr>
          <w:p w:rsidR="00CA4AE2" w:rsidRDefault="00A26C1D" w:rsidP="00DA0596">
            <w:pPr>
              <w:jc w:val="center"/>
            </w:pPr>
            <w:r>
              <w:t>11.7%</w:t>
            </w:r>
          </w:p>
        </w:tc>
        <w:tc>
          <w:tcPr>
            <w:tcW w:w="2311" w:type="dxa"/>
          </w:tcPr>
          <w:p w:rsidR="00CA4AE2" w:rsidRDefault="00974AEC" w:rsidP="00DA0596">
            <w:pPr>
              <w:jc w:val="center"/>
            </w:pPr>
            <w:r>
              <w:t>0.0%</w:t>
            </w:r>
            <w:r w:rsidR="008C20DD">
              <w:t xml:space="preserve"> (11)</w:t>
            </w:r>
          </w:p>
        </w:tc>
      </w:tr>
    </w:tbl>
    <w:p w:rsidR="008C20DD" w:rsidRDefault="008C20DD"/>
    <w:p w:rsidR="00DA0596" w:rsidRDefault="008C20DD">
      <w:r>
        <w:t>In 2018</w:t>
      </w:r>
      <w:r w:rsidR="00DB502C">
        <w:t xml:space="preserve"> no Pupil Premium children reached the higher standard.</w:t>
      </w:r>
      <w:r w:rsidR="00D25931">
        <w:t xml:space="preserve"> 2018/19 all teachers are targeting children who are capable of reaching the higher standard to ensure they do so. </w:t>
      </w:r>
    </w:p>
    <w:p w:rsidR="001B4640" w:rsidRDefault="001B4640"/>
    <w:p w:rsidR="001B4640" w:rsidRDefault="001B4640" w:rsidP="001B4640">
      <w:pPr>
        <w:rPr>
          <w:b/>
        </w:rPr>
      </w:pPr>
      <w:r>
        <w:rPr>
          <w:b/>
        </w:rPr>
        <w:t>Year One Phonic Screen</w:t>
      </w:r>
    </w:p>
    <w:p w:rsidR="001B4640" w:rsidRDefault="001B4640" w:rsidP="001B4640">
      <w:pPr>
        <w:rPr>
          <w:b/>
        </w:rPr>
      </w:pPr>
      <w:r>
        <w:rPr>
          <w:b/>
        </w:rPr>
        <w:t>% Achieved the Standard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B4640" w:rsidTr="005A5C53">
        <w:tc>
          <w:tcPr>
            <w:tcW w:w="3080" w:type="dxa"/>
          </w:tcPr>
          <w:p w:rsidR="001B4640" w:rsidRDefault="001B4640" w:rsidP="005A5C53">
            <w:pPr>
              <w:jc w:val="center"/>
            </w:pPr>
            <w:r>
              <w:t>School</w:t>
            </w:r>
          </w:p>
        </w:tc>
        <w:tc>
          <w:tcPr>
            <w:tcW w:w="3081" w:type="dxa"/>
          </w:tcPr>
          <w:p w:rsidR="001B4640" w:rsidRDefault="001B4640" w:rsidP="005A5C53">
            <w:pPr>
              <w:jc w:val="center"/>
            </w:pPr>
            <w:r>
              <w:t>National</w:t>
            </w:r>
          </w:p>
        </w:tc>
        <w:tc>
          <w:tcPr>
            <w:tcW w:w="3081" w:type="dxa"/>
          </w:tcPr>
          <w:p w:rsidR="001B4640" w:rsidRDefault="001B4640" w:rsidP="005A5C53">
            <w:pPr>
              <w:jc w:val="center"/>
            </w:pPr>
            <w:r>
              <w:t>Pupil Premium</w:t>
            </w:r>
          </w:p>
        </w:tc>
      </w:tr>
      <w:tr w:rsidR="001B4640" w:rsidTr="005A5C53">
        <w:tc>
          <w:tcPr>
            <w:tcW w:w="3080" w:type="dxa"/>
          </w:tcPr>
          <w:p w:rsidR="001B4640" w:rsidRDefault="00A26C1D" w:rsidP="005A5C53">
            <w:pPr>
              <w:jc w:val="center"/>
            </w:pPr>
            <w:r>
              <w:t>86.4%</w:t>
            </w:r>
            <w:r w:rsidR="008C20DD">
              <w:t xml:space="preserve"> (59)</w:t>
            </w:r>
          </w:p>
        </w:tc>
        <w:tc>
          <w:tcPr>
            <w:tcW w:w="3081" w:type="dxa"/>
          </w:tcPr>
          <w:p w:rsidR="001B4640" w:rsidRDefault="00A26C1D" w:rsidP="005A5C53">
            <w:pPr>
              <w:jc w:val="center"/>
            </w:pPr>
            <w:r>
              <w:t>82.5%</w:t>
            </w:r>
          </w:p>
        </w:tc>
        <w:tc>
          <w:tcPr>
            <w:tcW w:w="3081" w:type="dxa"/>
          </w:tcPr>
          <w:p w:rsidR="001B4640" w:rsidRDefault="00A26C1D" w:rsidP="005A5C53">
            <w:pPr>
              <w:jc w:val="center"/>
            </w:pPr>
            <w:r>
              <w:t>76.9%</w:t>
            </w:r>
            <w:r w:rsidR="008C20DD">
              <w:t xml:space="preserve"> (13)</w:t>
            </w:r>
          </w:p>
        </w:tc>
      </w:tr>
    </w:tbl>
    <w:p w:rsidR="001B4640" w:rsidRDefault="001B4640" w:rsidP="001B4640">
      <w:pPr>
        <w:rPr>
          <w:b/>
        </w:rPr>
      </w:pPr>
    </w:p>
    <w:p w:rsidR="001B4640" w:rsidRPr="001B4640" w:rsidRDefault="001B4640" w:rsidP="001B4640">
      <w:r w:rsidRPr="001B4640">
        <w:t xml:space="preserve">Children eligible </w:t>
      </w:r>
      <w:r w:rsidR="00F14026">
        <w:t>for Pupil Premium achieved</w:t>
      </w:r>
      <w:r w:rsidR="004D19E3">
        <w:t xml:space="preserve"> just</w:t>
      </w:r>
      <w:r w:rsidR="00F14026">
        <w:t xml:space="preserve"> below</w:t>
      </w:r>
      <w:r w:rsidR="009F58F5">
        <w:t xml:space="preserve"> </w:t>
      </w:r>
      <w:r w:rsidR="00D25931">
        <w:t xml:space="preserve">National and </w:t>
      </w:r>
      <w:r w:rsidR="009F58F5">
        <w:t>Non- Pupil Premium children in the school.</w:t>
      </w:r>
      <w:r w:rsidR="00D25931">
        <w:t xml:space="preserve"> 2 Pupil Premium children did not pass: 1 has speech and langu</w:t>
      </w:r>
      <w:r w:rsidR="00416672">
        <w:t xml:space="preserve">age difficulties and </w:t>
      </w:r>
      <w:r w:rsidR="00D25931">
        <w:t xml:space="preserve">1 child has developmental delay and is </w:t>
      </w:r>
      <w:r w:rsidR="00416672">
        <w:t>receiving support from the HINT team.</w:t>
      </w:r>
    </w:p>
    <w:p w:rsidR="001B4640" w:rsidRPr="00D27D51" w:rsidRDefault="00A26C1D" w:rsidP="001B4640">
      <w:pPr>
        <w:rPr>
          <w:b/>
        </w:rPr>
      </w:pPr>
      <w:r>
        <w:rPr>
          <w:b/>
        </w:rPr>
        <w:t>Early Years Data June 2018</w:t>
      </w:r>
    </w:p>
    <w:p w:rsidR="001B4640" w:rsidRPr="00D27D51" w:rsidRDefault="001B4640" w:rsidP="001B4640">
      <w:pPr>
        <w:rPr>
          <w:b/>
        </w:rPr>
      </w:pPr>
      <w:r w:rsidRPr="00D27D51">
        <w:rPr>
          <w:b/>
        </w:rPr>
        <w:t>% Good Level of Development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B4640" w:rsidTr="005A5C53">
        <w:tc>
          <w:tcPr>
            <w:tcW w:w="3080" w:type="dxa"/>
          </w:tcPr>
          <w:p w:rsidR="001B4640" w:rsidRDefault="001B4640" w:rsidP="005A5C53">
            <w:pPr>
              <w:jc w:val="center"/>
            </w:pPr>
            <w:r>
              <w:t>School</w:t>
            </w:r>
          </w:p>
        </w:tc>
        <w:tc>
          <w:tcPr>
            <w:tcW w:w="3081" w:type="dxa"/>
          </w:tcPr>
          <w:p w:rsidR="001B4640" w:rsidRDefault="001B4640" w:rsidP="005A5C53">
            <w:pPr>
              <w:jc w:val="center"/>
            </w:pPr>
            <w:r>
              <w:t>National</w:t>
            </w:r>
          </w:p>
        </w:tc>
        <w:tc>
          <w:tcPr>
            <w:tcW w:w="3081" w:type="dxa"/>
          </w:tcPr>
          <w:p w:rsidR="001B4640" w:rsidRDefault="001B4640" w:rsidP="005A5C53">
            <w:pPr>
              <w:jc w:val="center"/>
            </w:pPr>
            <w:r>
              <w:t>Pupil Premium</w:t>
            </w:r>
          </w:p>
        </w:tc>
      </w:tr>
      <w:tr w:rsidR="001B4640" w:rsidTr="005A5C53">
        <w:tc>
          <w:tcPr>
            <w:tcW w:w="3080" w:type="dxa"/>
          </w:tcPr>
          <w:p w:rsidR="001B4640" w:rsidRDefault="00A26C1D" w:rsidP="005A5C53">
            <w:pPr>
              <w:jc w:val="center"/>
            </w:pPr>
            <w:r>
              <w:t>79.2%</w:t>
            </w:r>
            <w:r w:rsidR="008C20DD">
              <w:t xml:space="preserve"> (53)</w:t>
            </w:r>
          </w:p>
        </w:tc>
        <w:tc>
          <w:tcPr>
            <w:tcW w:w="3081" w:type="dxa"/>
          </w:tcPr>
          <w:p w:rsidR="001B4640" w:rsidRDefault="00A26C1D" w:rsidP="005A5C53">
            <w:pPr>
              <w:jc w:val="center"/>
            </w:pPr>
            <w:r>
              <w:t>71.5%</w:t>
            </w:r>
          </w:p>
        </w:tc>
        <w:tc>
          <w:tcPr>
            <w:tcW w:w="3081" w:type="dxa"/>
          </w:tcPr>
          <w:p w:rsidR="001B4640" w:rsidRDefault="00A26C1D" w:rsidP="005A5C53">
            <w:pPr>
              <w:jc w:val="center"/>
            </w:pPr>
            <w:r>
              <w:t>62.5%</w:t>
            </w:r>
            <w:r w:rsidR="008C20DD">
              <w:t xml:space="preserve"> (16)</w:t>
            </w:r>
          </w:p>
        </w:tc>
      </w:tr>
    </w:tbl>
    <w:p w:rsidR="00DA0596" w:rsidRDefault="00DA0596"/>
    <w:p w:rsidR="001B4640" w:rsidRPr="00CA4AE2" w:rsidRDefault="001B4640">
      <w:r w:rsidRPr="001B4640">
        <w:t>Children eligible for Pupil Premium achieved</w:t>
      </w:r>
      <w:r w:rsidR="00416672">
        <w:t xml:space="preserve"> </w:t>
      </w:r>
      <w:r>
        <w:t>below the</w:t>
      </w:r>
      <w:r w:rsidR="00DE07DC">
        <w:t xml:space="preserve"> National and </w:t>
      </w:r>
      <w:bookmarkStart w:id="0" w:name="_GoBack"/>
      <w:bookmarkEnd w:id="0"/>
      <w:r w:rsidR="005A5C53">
        <w:t>N</w:t>
      </w:r>
      <w:r>
        <w:t xml:space="preserve">on </w:t>
      </w:r>
      <w:r w:rsidR="005A5C53">
        <w:t>-</w:t>
      </w:r>
      <w:r>
        <w:t>Pupil Premium ch</w:t>
      </w:r>
      <w:r w:rsidR="00412A94">
        <w:t>ildren in the school. This is a contin</w:t>
      </w:r>
      <w:r w:rsidR="00416672">
        <w:t>ued area for development in 2018/19</w:t>
      </w:r>
      <w:r>
        <w:t>.</w:t>
      </w:r>
    </w:p>
    <w:sectPr w:rsidR="001B4640" w:rsidRPr="00CA4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E2"/>
    <w:rsid w:val="00001444"/>
    <w:rsid w:val="00110E89"/>
    <w:rsid w:val="00165CB2"/>
    <w:rsid w:val="001679A8"/>
    <w:rsid w:val="001B4640"/>
    <w:rsid w:val="00236DC2"/>
    <w:rsid w:val="0026290C"/>
    <w:rsid w:val="003F3418"/>
    <w:rsid w:val="00412A94"/>
    <w:rsid w:val="00416672"/>
    <w:rsid w:val="004C1468"/>
    <w:rsid w:val="004D19E3"/>
    <w:rsid w:val="00545E26"/>
    <w:rsid w:val="005A5C53"/>
    <w:rsid w:val="006935CA"/>
    <w:rsid w:val="00707D28"/>
    <w:rsid w:val="00711947"/>
    <w:rsid w:val="0084455B"/>
    <w:rsid w:val="0088529E"/>
    <w:rsid w:val="008C20DD"/>
    <w:rsid w:val="00940B59"/>
    <w:rsid w:val="00967376"/>
    <w:rsid w:val="00972A65"/>
    <w:rsid w:val="00974AEC"/>
    <w:rsid w:val="009E52D4"/>
    <w:rsid w:val="009F58F5"/>
    <w:rsid w:val="00A2415F"/>
    <w:rsid w:val="00A26C1D"/>
    <w:rsid w:val="00B7529F"/>
    <w:rsid w:val="00C32545"/>
    <w:rsid w:val="00C53538"/>
    <w:rsid w:val="00C97BA7"/>
    <w:rsid w:val="00CA4AE2"/>
    <w:rsid w:val="00CD7E07"/>
    <w:rsid w:val="00D238E8"/>
    <w:rsid w:val="00D25931"/>
    <w:rsid w:val="00DA0596"/>
    <w:rsid w:val="00DB502C"/>
    <w:rsid w:val="00DB6513"/>
    <w:rsid w:val="00DE07DC"/>
    <w:rsid w:val="00DE6345"/>
    <w:rsid w:val="00E26BD5"/>
    <w:rsid w:val="00EC159B"/>
    <w:rsid w:val="00EC76ED"/>
    <w:rsid w:val="00F10169"/>
    <w:rsid w:val="00F1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4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9B3BEF30.dotm</Template>
  <TotalTime>11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Thompson</dc:creator>
  <cp:lastModifiedBy>Denise Thompson</cp:lastModifiedBy>
  <cp:revision>5</cp:revision>
  <cp:lastPrinted>2018-10-15T10:57:00Z</cp:lastPrinted>
  <dcterms:created xsi:type="dcterms:W3CDTF">2018-11-06T11:41:00Z</dcterms:created>
  <dcterms:modified xsi:type="dcterms:W3CDTF">2018-11-06T11:51:00Z</dcterms:modified>
</cp:coreProperties>
</file>