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A2808B" w14:textId="7ED7F711" w:rsidR="002B0C1F" w:rsidRDefault="002B0C1F" w:rsidP="002B0C1F">
      <w:pPr>
        <w:spacing w:after="0" w:line="288" w:lineRule="auto"/>
        <w:rPr>
          <w:rFonts w:eastAsia="Times New Roman" w:cs="Arial"/>
          <w:color w:val="0D0D0D" w:themeColor="text1" w:themeTint="F2"/>
          <w:sz w:val="20"/>
          <w:szCs w:val="20"/>
          <w:lang w:eastAsia="en-GB"/>
        </w:rPr>
      </w:pPr>
    </w:p>
    <w:p w14:paraId="37B0577A" w14:textId="0318C5DB" w:rsidR="00B609C9" w:rsidRDefault="00B609C9" w:rsidP="002B0C1F">
      <w:pPr>
        <w:spacing w:after="0" w:line="288" w:lineRule="auto"/>
        <w:rPr>
          <w:rFonts w:eastAsia="Times New Roman" w:cs="Arial"/>
          <w:color w:val="0D0D0D" w:themeColor="text1" w:themeTint="F2"/>
          <w:sz w:val="20"/>
          <w:szCs w:val="20"/>
          <w:lang w:eastAsia="en-GB"/>
        </w:rPr>
      </w:pPr>
    </w:p>
    <w:p w14:paraId="686B1090" w14:textId="6E675262" w:rsidR="00B609C9" w:rsidRDefault="00B609C9" w:rsidP="002B0C1F">
      <w:pPr>
        <w:spacing w:after="0" w:line="288" w:lineRule="auto"/>
        <w:rPr>
          <w:rFonts w:eastAsia="Times New Roman" w:cs="Arial"/>
          <w:color w:val="0D0D0D" w:themeColor="text1" w:themeTint="F2"/>
          <w:sz w:val="20"/>
          <w:szCs w:val="20"/>
          <w:lang w:eastAsia="en-GB"/>
        </w:rPr>
      </w:pPr>
    </w:p>
    <w:p w14:paraId="0CD063EE" w14:textId="77777777" w:rsidR="00B609C9" w:rsidRPr="002B0C1F" w:rsidRDefault="00B609C9" w:rsidP="002B0C1F">
      <w:pPr>
        <w:spacing w:after="0" w:line="288" w:lineRule="auto"/>
        <w:rPr>
          <w:rFonts w:eastAsia="Times New Roman" w:cs="Arial"/>
          <w:color w:val="0D0D0D" w:themeColor="text1" w:themeTint="F2"/>
          <w:sz w:val="20"/>
          <w:szCs w:val="20"/>
          <w:lang w:eastAsia="en-GB"/>
        </w:rPr>
      </w:pPr>
    </w:p>
    <w:tbl>
      <w:tblPr>
        <w:tblStyle w:val="TableGrid"/>
        <w:tblW w:w="15134" w:type="dxa"/>
        <w:tblLayout w:type="fixed"/>
        <w:tblLook w:val="04A0" w:firstRow="1" w:lastRow="0" w:firstColumn="1" w:lastColumn="0" w:noHBand="0" w:noVBand="1"/>
      </w:tblPr>
      <w:tblGrid>
        <w:gridCol w:w="3794"/>
        <w:gridCol w:w="4252"/>
        <w:gridCol w:w="4962"/>
        <w:gridCol w:w="2126"/>
      </w:tblGrid>
      <w:tr w:rsidR="00311C61" w:rsidRPr="002B0C1F" w14:paraId="2DEBFBE0" w14:textId="77777777" w:rsidTr="00311C61">
        <w:trPr>
          <w:gridAfter w:val="2"/>
          <w:wAfter w:w="7088" w:type="dxa"/>
          <w:trHeight w:hRule="exact" w:val="340"/>
        </w:trPr>
        <w:tc>
          <w:tcPr>
            <w:tcW w:w="8046" w:type="dxa"/>
            <w:gridSpan w:val="2"/>
            <w:shd w:val="clear" w:color="auto" w:fill="auto"/>
            <w:tcMar>
              <w:top w:w="57" w:type="dxa"/>
              <w:bottom w:w="57" w:type="dxa"/>
            </w:tcMar>
          </w:tcPr>
          <w:p w14:paraId="661AD1B5" w14:textId="1846C118" w:rsidR="00311C61" w:rsidRPr="00311C61" w:rsidRDefault="00311C61" w:rsidP="00311C61">
            <w:pPr>
              <w:spacing w:after="240" w:line="288" w:lineRule="auto"/>
              <w:rPr>
                <w:rFonts w:asciiTheme="minorHAnsi" w:hAnsiTheme="minorHAnsi" w:cstheme="minorHAnsi"/>
                <w:b/>
                <w:color w:val="0D0D0D" w:themeColor="text1" w:themeTint="F2"/>
              </w:rPr>
            </w:pPr>
            <w:r w:rsidRPr="00311C61">
              <w:rPr>
                <w:rFonts w:asciiTheme="minorHAnsi" w:hAnsiTheme="minorHAnsi" w:cstheme="minorHAnsi"/>
                <w:b/>
                <w:color w:val="0D0D0D" w:themeColor="text1" w:themeTint="F2"/>
                <w:highlight w:val="lightGray"/>
              </w:rPr>
              <w:t>2. Review of Expenditure</w:t>
            </w:r>
            <w:r w:rsidR="00A519AD">
              <w:rPr>
                <w:rFonts w:asciiTheme="minorHAnsi" w:hAnsiTheme="minorHAnsi" w:cstheme="minorHAnsi"/>
                <w:b/>
                <w:color w:val="0D0D0D" w:themeColor="text1" w:themeTint="F2"/>
              </w:rPr>
              <w:t xml:space="preserve"> July 2019</w:t>
            </w:r>
          </w:p>
        </w:tc>
      </w:tr>
      <w:tr w:rsidR="00B609C9" w:rsidRPr="002B0C1F" w14:paraId="1179E989" w14:textId="77777777" w:rsidTr="00311C61">
        <w:trPr>
          <w:gridAfter w:val="2"/>
          <w:wAfter w:w="7088" w:type="dxa"/>
          <w:trHeight w:hRule="exact" w:val="340"/>
        </w:trPr>
        <w:tc>
          <w:tcPr>
            <w:tcW w:w="8046" w:type="dxa"/>
            <w:gridSpan w:val="2"/>
            <w:shd w:val="clear" w:color="auto" w:fill="auto"/>
            <w:tcMar>
              <w:top w:w="57" w:type="dxa"/>
              <w:bottom w:w="57" w:type="dxa"/>
            </w:tcMar>
          </w:tcPr>
          <w:p w14:paraId="75B216AE" w14:textId="77777777" w:rsidR="00B609C9" w:rsidRPr="002B0C1F" w:rsidRDefault="00B609C9" w:rsidP="002B0C1F">
            <w:pPr>
              <w:spacing w:after="240" w:line="288" w:lineRule="auto"/>
              <w:rPr>
                <w:rFonts w:asciiTheme="minorHAnsi" w:hAnsiTheme="minorHAnsi" w:cs="Arial"/>
                <w:b/>
                <w:color w:val="0D0D0D" w:themeColor="text1" w:themeTint="F2"/>
              </w:rPr>
            </w:pPr>
            <w:r w:rsidRPr="002B0C1F">
              <w:rPr>
                <w:rFonts w:asciiTheme="minorHAnsi" w:hAnsiTheme="minorHAnsi" w:cs="Arial"/>
                <w:b/>
                <w:color w:val="0D0D0D" w:themeColor="text1" w:themeTint="F2"/>
              </w:rPr>
              <w:t>Previous Academic Year</w:t>
            </w:r>
          </w:p>
        </w:tc>
      </w:tr>
      <w:tr w:rsidR="00B609C9" w:rsidRPr="002B0C1F" w14:paraId="200C9966" w14:textId="77777777" w:rsidTr="00311C61">
        <w:trPr>
          <w:trHeight w:hRule="exact" w:val="1173"/>
        </w:trPr>
        <w:tc>
          <w:tcPr>
            <w:tcW w:w="3794" w:type="dxa"/>
            <w:tcMar>
              <w:top w:w="57" w:type="dxa"/>
              <w:bottom w:w="57" w:type="dxa"/>
            </w:tcMar>
          </w:tcPr>
          <w:p w14:paraId="2367A4D3" w14:textId="77777777" w:rsidR="00B609C9" w:rsidRPr="002B0C1F" w:rsidRDefault="00B609C9" w:rsidP="002B0C1F">
            <w:pPr>
              <w:spacing w:after="240" w:line="288" w:lineRule="auto"/>
              <w:rPr>
                <w:rFonts w:asciiTheme="minorHAnsi" w:hAnsiTheme="minorHAnsi" w:cs="Arial"/>
                <w:b/>
                <w:color w:val="0D0D0D" w:themeColor="text1" w:themeTint="F2"/>
              </w:rPr>
            </w:pPr>
            <w:r w:rsidRPr="002B0C1F">
              <w:rPr>
                <w:rFonts w:asciiTheme="minorHAnsi" w:hAnsiTheme="minorHAnsi" w:cs="Arial"/>
                <w:b/>
                <w:color w:val="0D0D0D" w:themeColor="text1" w:themeTint="F2"/>
              </w:rPr>
              <w:t>Desired outcome</w:t>
            </w:r>
          </w:p>
        </w:tc>
        <w:tc>
          <w:tcPr>
            <w:tcW w:w="4252" w:type="dxa"/>
            <w:tcMar>
              <w:top w:w="57" w:type="dxa"/>
              <w:bottom w:w="57" w:type="dxa"/>
            </w:tcMar>
          </w:tcPr>
          <w:p w14:paraId="5A2B097E" w14:textId="77777777" w:rsidR="00B609C9" w:rsidRPr="002B0C1F" w:rsidRDefault="00B609C9" w:rsidP="002B0C1F">
            <w:pPr>
              <w:spacing w:after="240" w:line="288" w:lineRule="auto"/>
              <w:rPr>
                <w:rFonts w:asciiTheme="minorHAnsi" w:hAnsiTheme="minorHAnsi" w:cs="Arial"/>
                <w:b/>
                <w:color w:val="0D0D0D" w:themeColor="text1" w:themeTint="F2"/>
              </w:rPr>
            </w:pPr>
            <w:r w:rsidRPr="002B0C1F">
              <w:rPr>
                <w:rFonts w:asciiTheme="minorHAnsi" w:hAnsiTheme="minorHAnsi" w:cs="Arial"/>
                <w:b/>
                <w:color w:val="0D0D0D" w:themeColor="text1" w:themeTint="F2"/>
              </w:rPr>
              <w:t>Chosen action / approach</w:t>
            </w:r>
          </w:p>
        </w:tc>
        <w:tc>
          <w:tcPr>
            <w:tcW w:w="4962" w:type="dxa"/>
            <w:tcMar>
              <w:top w:w="57" w:type="dxa"/>
              <w:bottom w:w="57" w:type="dxa"/>
            </w:tcMar>
          </w:tcPr>
          <w:p w14:paraId="4018149E" w14:textId="19C4959A" w:rsidR="00B609C9" w:rsidRPr="002B0C1F" w:rsidRDefault="00B609C9" w:rsidP="002B0C1F">
            <w:pPr>
              <w:spacing w:after="240" w:line="288" w:lineRule="auto"/>
              <w:rPr>
                <w:rFonts w:asciiTheme="minorHAnsi" w:hAnsiTheme="minorHAnsi" w:cs="Arial"/>
                <w:color w:val="0D0D0D" w:themeColor="text1" w:themeTint="F2"/>
              </w:rPr>
            </w:pPr>
            <w:r w:rsidRPr="002B0C1F">
              <w:rPr>
                <w:rFonts w:asciiTheme="minorHAnsi" w:hAnsiTheme="minorHAnsi" w:cs="Arial"/>
                <w:b/>
                <w:color w:val="0D0D0D" w:themeColor="text1" w:themeTint="F2"/>
              </w:rPr>
              <w:t xml:space="preserve">Estimated impact: </w:t>
            </w:r>
            <w:r w:rsidRPr="002B0C1F">
              <w:rPr>
                <w:rFonts w:asciiTheme="minorHAnsi" w:hAnsiTheme="minorHAnsi" w:cs="Arial"/>
                <w:color w:val="0D0D0D" w:themeColor="text1" w:themeTint="F2"/>
              </w:rPr>
              <w:t xml:space="preserve">Did you meet the success criteria? </w:t>
            </w:r>
          </w:p>
        </w:tc>
        <w:tc>
          <w:tcPr>
            <w:tcW w:w="2126" w:type="dxa"/>
          </w:tcPr>
          <w:p w14:paraId="251E8CCF" w14:textId="77777777" w:rsidR="00B609C9" w:rsidRPr="002B0C1F" w:rsidRDefault="00B609C9" w:rsidP="002B0C1F">
            <w:pPr>
              <w:spacing w:after="240" w:line="288" w:lineRule="auto"/>
              <w:rPr>
                <w:rFonts w:asciiTheme="minorHAnsi" w:hAnsiTheme="minorHAnsi" w:cs="Arial"/>
                <w:b/>
                <w:color w:val="0D0D0D" w:themeColor="text1" w:themeTint="F2"/>
              </w:rPr>
            </w:pPr>
            <w:r w:rsidRPr="002B0C1F">
              <w:rPr>
                <w:rFonts w:asciiTheme="minorHAnsi" w:hAnsiTheme="minorHAnsi" w:cs="Arial"/>
                <w:b/>
                <w:color w:val="0D0D0D" w:themeColor="text1" w:themeTint="F2"/>
              </w:rPr>
              <w:t>Cost</w:t>
            </w:r>
          </w:p>
        </w:tc>
      </w:tr>
      <w:tr w:rsidR="00B609C9" w:rsidRPr="002B0C1F" w14:paraId="69D666DE" w14:textId="77777777" w:rsidTr="004340E7">
        <w:trPr>
          <w:trHeight w:hRule="exact" w:val="6163"/>
        </w:trPr>
        <w:tc>
          <w:tcPr>
            <w:tcW w:w="3794" w:type="dxa"/>
            <w:tcMar>
              <w:top w:w="57" w:type="dxa"/>
              <w:bottom w:w="57" w:type="dxa"/>
            </w:tcMar>
          </w:tcPr>
          <w:p w14:paraId="5D378FD5" w14:textId="77777777" w:rsidR="00B609C9" w:rsidRDefault="00B609C9" w:rsidP="00543A09">
            <w:pPr>
              <w:spacing w:line="288" w:lineRule="auto"/>
              <w:rPr>
                <w:rFonts w:asciiTheme="minorHAnsi" w:hAnsiTheme="minorHAnsi" w:cs="Arial"/>
                <w:color w:val="0D0D0D" w:themeColor="text1" w:themeTint="F2"/>
              </w:rPr>
            </w:pPr>
            <w:r>
              <w:rPr>
                <w:rFonts w:asciiTheme="minorHAnsi" w:hAnsiTheme="minorHAnsi" w:cs="Arial"/>
                <w:color w:val="0D0D0D" w:themeColor="text1" w:themeTint="F2"/>
              </w:rPr>
              <w:t xml:space="preserve">Ensure whole school ethos of attainment for all. </w:t>
            </w:r>
          </w:p>
          <w:p w14:paraId="3795D30B" w14:textId="7F190A87" w:rsidR="00B609C9" w:rsidRDefault="00B609C9" w:rsidP="00543A09">
            <w:pPr>
              <w:spacing w:line="288" w:lineRule="auto"/>
              <w:rPr>
                <w:rFonts w:asciiTheme="minorHAnsi" w:hAnsiTheme="minorHAnsi" w:cs="Arial"/>
                <w:color w:val="0D0D0D" w:themeColor="text1" w:themeTint="F2"/>
              </w:rPr>
            </w:pPr>
            <w:r>
              <w:rPr>
                <w:rFonts w:asciiTheme="minorHAnsi" w:hAnsiTheme="minorHAnsi" w:cs="Arial"/>
                <w:color w:val="0D0D0D" w:themeColor="text1" w:themeTint="F2"/>
              </w:rPr>
              <w:t xml:space="preserve">For </w:t>
            </w:r>
            <w:proofErr w:type="gramStart"/>
            <w:r>
              <w:rPr>
                <w:rFonts w:asciiTheme="minorHAnsi" w:hAnsiTheme="minorHAnsi" w:cs="Arial"/>
                <w:color w:val="0D0D0D" w:themeColor="text1" w:themeTint="F2"/>
              </w:rPr>
              <w:t>positive growth</w:t>
            </w:r>
            <w:proofErr w:type="gramEnd"/>
            <w:r>
              <w:rPr>
                <w:rFonts w:asciiTheme="minorHAnsi" w:hAnsiTheme="minorHAnsi" w:cs="Arial"/>
                <w:color w:val="0D0D0D" w:themeColor="text1" w:themeTint="F2"/>
              </w:rPr>
              <w:t xml:space="preserve"> mind set to be embedded across the school. That </w:t>
            </w:r>
            <w:r w:rsidR="00D557A0">
              <w:rPr>
                <w:rFonts w:asciiTheme="minorHAnsi" w:hAnsiTheme="minorHAnsi" w:cs="Arial"/>
                <w:color w:val="0D0D0D" w:themeColor="text1" w:themeTint="F2"/>
              </w:rPr>
              <w:t xml:space="preserve">the </w:t>
            </w:r>
            <w:r>
              <w:rPr>
                <w:rFonts w:asciiTheme="minorHAnsi" w:hAnsiTheme="minorHAnsi" w:cs="Arial"/>
                <w:color w:val="0D0D0D" w:themeColor="text1" w:themeTint="F2"/>
              </w:rPr>
              <w:t xml:space="preserve">staff </w:t>
            </w:r>
            <w:r w:rsidR="00D557A0">
              <w:rPr>
                <w:rFonts w:asciiTheme="minorHAnsi" w:hAnsiTheme="minorHAnsi" w:cs="Arial"/>
                <w:color w:val="0D0D0D" w:themeColor="text1" w:themeTint="F2"/>
              </w:rPr>
              <w:t>believes</w:t>
            </w:r>
            <w:r>
              <w:rPr>
                <w:rFonts w:asciiTheme="minorHAnsi" w:hAnsiTheme="minorHAnsi" w:cs="Arial"/>
                <w:color w:val="0D0D0D" w:themeColor="text1" w:themeTint="F2"/>
              </w:rPr>
              <w:t xml:space="preserve"> in ALL children. There are ‘no excuses’ made for underperformance.  Staff to adopt a ‘solution focused’ approach to overcoming barriers.</w:t>
            </w:r>
          </w:p>
          <w:p w14:paraId="09CE1FB8" w14:textId="77777777" w:rsidR="00B609C9" w:rsidRDefault="00B609C9" w:rsidP="00543A09">
            <w:pPr>
              <w:spacing w:line="288" w:lineRule="auto"/>
              <w:rPr>
                <w:rFonts w:asciiTheme="minorHAnsi" w:hAnsiTheme="minorHAnsi" w:cs="Arial"/>
                <w:color w:val="0D0D0D" w:themeColor="text1" w:themeTint="F2"/>
              </w:rPr>
            </w:pPr>
          </w:p>
          <w:p w14:paraId="1E659A60" w14:textId="52D15186" w:rsidR="00B609C9" w:rsidRPr="002B0C1F" w:rsidRDefault="00B609C9" w:rsidP="00543A09">
            <w:pPr>
              <w:spacing w:after="240" w:line="288" w:lineRule="auto"/>
              <w:rPr>
                <w:rFonts w:asciiTheme="minorHAnsi" w:hAnsiTheme="minorHAnsi" w:cs="Arial"/>
                <w:color w:val="0D0D0D" w:themeColor="text1" w:themeTint="F2"/>
              </w:rPr>
            </w:pPr>
          </w:p>
        </w:tc>
        <w:tc>
          <w:tcPr>
            <w:tcW w:w="4252" w:type="dxa"/>
            <w:tcMar>
              <w:top w:w="57" w:type="dxa"/>
              <w:bottom w:w="57" w:type="dxa"/>
            </w:tcMar>
          </w:tcPr>
          <w:p w14:paraId="59B71A53" w14:textId="77777777" w:rsidR="00B609C9" w:rsidRDefault="00B609C9" w:rsidP="00543A09">
            <w:pPr>
              <w:spacing w:line="288" w:lineRule="auto"/>
              <w:rPr>
                <w:rFonts w:asciiTheme="minorHAnsi" w:hAnsiTheme="minorHAnsi" w:cs="Arial"/>
                <w:color w:val="0D0D0D" w:themeColor="text1" w:themeTint="F2"/>
              </w:rPr>
            </w:pPr>
            <w:r>
              <w:rPr>
                <w:rFonts w:asciiTheme="minorHAnsi" w:hAnsiTheme="minorHAnsi" w:cs="Arial"/>
                <w:color w:val="0D0D0D" w:themeColor="text1" w:themeTint="F2"/>
              </w:rPr>
              <w:t xml:space="preserve">Growth mind set training provided by the LA (MM) for all staff. </w:t>
            </w:r>
          </w:p>
          <w:p w14:paraId="6079BA1E" w14:textId="77777777" w:rsidR="00B609C9" w:rsidRDefault="00B609C9" w:rsidP="00543A09">
            <w:pPr>
              <w:spacing w:line="288" w:lineRule="auto"/>
              <w:rPr>
                <w:rFonts w:asciiTheme="minorHAnsi" w:hAnsiTheme="minorHAnsi" w:cs="Arial"/>
                <w:color w:val="0D0D0D" w:themeColor="text1" w:themeTint="F2"/>
              </w:rPr>
            </w:pPr>
          </w:p>
          <w:p w14:paraId="38E5F42E" w14:textId="77777777" w:rsidR="00B609C9" w:rsidRDefault="00B609C9" w:rsidP="00543A09">
            <w:pPr>
              <w:spacing w:line="288" w:lineRule="auto"/>
              <w:rPr>
                <w:rFonts w:asciiTheme="minorHAnsi" w:hAnsiTheme="minorHAnsi" w:cs="Arial"/>
                <w:color w:val="0D0D0D" w:themeColor="text1" w:themeTint="F2"/>
              </w:rPr>
            </w:pPr>
            <w:r>
              <w:rPr>
                <w:rFonts w:asciiTheme="minorHAnsi" w:hAnsiTheme="minorHAnsi" w:cs="Arial"/>
                <w:color w:val="0D0D0D" w:themeColor="text1" w:themeTint="F2"/>
              </w:rPr>
              <w:t>For HT and phase leaders to hold regular Pupil Progress meetings, highlighting progress and development of resilience and confidence.</w:t>
            </w:r>
          </w:p>
          <w:p w14:paraId="68D55609" w14:textId="77777777" w:rsidR="00B609C9" w:rsidRDefault="00B609C9" w:rsidP="00543A09">
            <w:pPr>
              <w:spacing w:line="288" w:lineRule="auto"/>
              <w:rPr>
                <w:rFonts w:asciiTheme="minorHAnsi" w:hAnsiTheme="minorHAnsi" w:cs="Arial"/>
                <w:color w:val="0D0D0D" w:themeColor="text1" w:themeTint="F2"/>
              </w:rPr>
            </w:pPr>
          </w:p>
          <w:p w14:paraId="5B52827E" w14:textId="77777777" w:rsidR="00B609C9" w:rsidRDefault="00B609C9" w:rsidP="00543A09">
            <w:pPr>
              <w:spacing w:line="288" w:lineRule="auto"/>
              <w:rPr>
                <w:rFonts w:asciiTheme="minorHAnsi" w:hAnsiTheme="minorHAnsi" w:cs="Arial"/>
                <w:color w:val="0D0D0D" w:themeColor="text1" w:themeTint="F2"/>
              </w:rPr>
            </w:pPr>
          </w:p>
          <w:p w14:paraId="0764F2D8" w14:textId="77777777" w:rsidR="00B609C9" w:rsidRDefault="00B609C9" w:rsidP="00543A09">
            <w:pPr>
              <w:spacing w:line="288" w:lineRule="auto"/>
              <w:rPr>
                <w:rFonts w:asciiTheme="minorHAnsi" w:hAnsiTheme="minorHAnsi" w:cs="Arial"/>
                <w:color w:val="0D0D0D" w:themeColor="text1" w:themeTint="F2"/>
              </w:rPr>
            </w:pPr>
          </w:p>
          <w:p w14:paraId="46C4FE7E" w14:textId="77777777" w:rsidR="00B609C9" w:rsidRDefault="00B609C9" w:rsidP="00543A09">
            <w:pPr>
              <w:spacing w:line="288" w:lineRule="auto"/>
              <w:rPr>
                <w:rFonts w:asciiTheme="minorHAnsi" w:hAnsiTheme="minorHAnsi" w:cs="Arial"/>
                <w:color w:val="0D0D0D" w:themeColor="text1" w:themeTint="F2"/>
              </w:rPr>
            </w:pPr>
          </w:p>
          <w:p w14:paraId="0E640031" w14:textId="77777777" w:rsidR="00B609C9" w:rsidRDefault="00B609C9" w:rsidP="00543A09">
            <w:pPr>
              <w:spacing w:line="288" w:lineRule="auto"/>
              <w:rPr>
                <w:rFonts w:asciiTheme="minorHAnsi" w:hAnsiTheme="minorHAnsi" w:cs="Arial"/>
                <w:color w:val="0D0D0D" w:themeColor="text1" w:themeTint="F2"/>
              </w:rPr>
            </w:pPr>
          </w:p>
          <w:p w14:paraId="2D68182A" w14:textId="77777777" w:rsidR="00B609C9" w:rsidRDefault="00B609C9" w:rsidP="00543A09">
            <w:pPr>
              <w:spacing w:line="288" w:lineRule="auto"/>
              <w:rPr>
                <w:rFonts w:asciiTheme="minorHAnsi" w:hAnsiTheme="minorHAnsi" w:cs="Arial"/>
                <w:color w:val="0D0D0D" w:themeColor="text1" w:themeTint="F2"/>
              </w:rPr>
            </w:pPr>
          </w:p>
          <w:p w14:paraId="0D73DE39" w14:textId="77777777" w:rsidR="00B609C9" w:rsidRDefault="00B609C9" w:rsidP="00543A09">
            <w:pPr>
              <w:spacing w:line="288" w:lineRule="auto"/>
              <w:rPr>
                <w:rFonts w:asciiTheme="minorHAnsi" w:hAnsiTheme="minorHAnsi" w:cs="Arial"/>
                <w:color w:val="0D0D0D" w:themeColor="text1" w:themeTint="F2"/>
              </w:rPr>
            </w:pPr>
          </w:p>
          <w:p w14:paraId="3120F7D1" w14:textId="77777777" w:rsidR="00B609C9" w:rsidRDefault="00B609C9" w:rsidP="00543A09">
            <w:pPr>
              <w:spacing w:line="288" w:lineRule="auto"/>
              <w:rPr>
                <w:rFonts w:asciiTheme="minorHAnsi" w:hAnsiTheme="minorHAnsi" w:cs="Arial"/>
                <w:color w:val="0D0D0D" w:themeColor="text1" w:themeTint="F2"/>
              </w:rPr>
            </w:pPr>
          </w:p>
          <w:p w14:paraId="3AE010D1" w14:textId="77777777" w:rsidR="00B609C9" w:rsidRPr="002B0C1F" w:rsidRDefault="00B609C9" w:rsidP="00543A09">
            <w:pPr>
              <w:spacing w:after="240" w:line="288" w:lineRule="auto"/>
              <w:rPr>
                <w:rFonts w:asciiTheme="minorHAnsi" w:hAnsiTheme="minorHAnsi" w:cs="Arial"/>
                <w:color w:val="0D0D0D" w:themeColor="text1" w:themeTint="F2"/>
              </w:rPr>
            </w:pPr>
          </w:p>
        </w:tc>
        <w:tc>
          <w:tcPr>
            <w:tcW w:w="4962" w:type="dxa"/>
            <w:tcMar>
              <w:top w:w="57" w:type="dxa"/>
              <w:bottom w:w="57" w:type="dxa"/>
            </w:tcMar>
          </w:tcPr>
          <w:p w14:paraId="0220901F" w14:textId="77777777" w:rsidR="00B609C9" w:rsidRDefault="00B609C9" w:rsidP="00B609C9">
            <w:pPr>
              <w:spacing w:line="288" w:lineRule="auto"/>
              <w:rPr>
                <w:rFonts w:asciiTheme="minorHAnsi" w:hAnsiTheme="minorHAnsi" w:cs="Arial"/>
                <w:color w:val="0D0D0D" w:themeColor="text1" w:themeTint="F2"/>
              </w:rPr>
            </w:pPr>
            <w:r>
              <w:rPr>
                <w:rFonts w:asciiTheme="minorHAnsi" w:hAnsiTheme="minorHAnsi" w:cs="Arial"/>
                <w:color w:val="0D0D0D" w:themeColor="text1" w:themeTint="F2"/>
              </w:rPr>
              <w:t>Discussions with children indicate a ‘can do’ approach to learning.</w:t>
            </w:r>
          </w:p>
          <w:p w14:paraId="19546EAA" w14:textId="77777777" w:rsidR="004340E7" w:rsidRDefault="004340E7" w:rsidP="00B609C9">
            <w:pPr>
              <w:spacing w:line="288" w:lineRule="auto"/>
              <w:rPr>
                <w:rFonts w:asciiTheme="minorHAnsi" w:hAnsiTheme="minorHAnsi" w:cs="Arial"/>
                <w:color w:val="0D0D0D" w:themeColor="text1" w:themeTint="F2"/>
              </w:rPr>
            </w:pPr>
          </w:p>
          <w:p w14:paraId="3645964E" w14:textId="07D91BD5" w:rsidR="00B609C9" w:rsidRDefault="00D557A0" w:rsidP="00B609C9">
            <w:pPr>
              <w:spacing w:line="288" w:lineRule="auto"/>
              <w:rPr>
                <w:rFonts w:asciiTheme="minorHAnsi" w:hAnsiTheme="minorHAnsi" w:cs="Arial"/>
                <w:color w:val="0D0D0D" w:themeColor="text1" w:themeTint="F2"/>
              </w:rPr>
            </w:pPr>
            <w:r>
              <w:rPr>
                <w:rFonts w:asciiTheme="minorHAnsi" w:hAnsiTheme="minorHAnsi" w:cs="Arial"/>
                <w:color w:val="0D0D0D" w:themeColor="text1" w:themeTint="F2"/>
              </w:rPr>
              <w:t xml:space="preserve">Introduction of OPAL play has </w:t>
            </w:r>
            <w:r w:rsidR="0043542A">
              <w:rPr>
                <w:rFonts w:asciiTheme="minorHAnsi" w:hAnsiTheme="minorHAnsi" w:cs="Arial"/>
                <w:color w:val="0D0D0D" w:themeColor="text1" w:themeTint="F2"/>
              </w:rPr>
              <w:t xml:space="preserve">promoted health and well- being among the children. It has </w:t>
            </w:r>
            <w:r>
              <w:rPr>
                <w:rFonts w:asciiTheme="minorHAnsi" w:hAnsiTheme="minorHAnsi" w:cs="Arial"/>
                <w:color w:val="0D0D0D" w:themeColor="text1" w:themeTint="F2"/>
              </w:rPr>
              <w:t xml:space="preserve">encouraged </w:t>
            </w:r>
            <w:r w:rsidR="0043542A">
              <w:rPr>
                <w:rFonts w:asciiTheme="minorHAnsi" w:hAnsiTheme="minorHAnsi" w:cs="Arial"/>
                <w:color w:val="0D0D0D" w:themeColor="text1" w:themeTint="F2"/>
              </w:rPr>
              <w:t>them</w:t>
            </w:r>
            <w:r>
              <w:rPr>
                <w:rFonts w:asciiTheme="minorHAnsi" w:hAnsiTheme="minorHAnsi" w:cs="Arial"/>
                <w:color w:val="0D0D0D" w:themeColor="text1" w:themeTint="F2"/>
              </w:rPr>
              <w:t xml:space="preserve"> to</w:t>
            </w:r>
            <w:r w:rsidR="0043542A">
              <w:rPr>
                <w:rFonts w:asciiTheme="minorHAnsi" w:hAnsiTheme="minorHAnsi" w:cs="Arial"/>
                <w:color w:val="0D0D0D" w:themeColor="text1" w:themeTint="F2"/>
              </w:rPr>
              <w:t xml:space="preserve"> </w:t>
            </w:r>
            <w:r>
              <w:rPr>
                <w:rFonts w:asciiTheme="minorHAnsi" w:hAnsiTheme="minorHAnsi" w:cs="Arial"/>
                <w:color w:val="0D0D0D" w:themeColor="text1" w:themeTint="F2"/>
              </w:rPr>
              <w:t>take calculated and well though</w:t>
            </w:r>
            <w:r w:rsidR="004340E7">
              <w:rPr>
                <w:rFonts w:asciiTheme="minorHAnsi" w:hAnsiTheme="minorHAnsi" w:cs="Arial"/>
                <w:color w:val="0D0D0D" w:themeColor="text1" w:themeTint="F2"/>
              </w:rPr>
              <w:t>t</w:t>
            </w:r>
            <w:r>
              <w:rPr>
                <w:rFonts w:asciiTheme="minorHAnsi" w:hAnsiTheme="minorHAnsi" w:cs="Arial"/>
                <w:color w:val="0D0D0D" w:themeColor="text1" w:themeTint="F2"/>
              </w:rPr>
              <w:t xml:space="preserve"> out risks when playing </w:t>
            </w:r>
            <w:r w:rsidR="004340E7">
              <w:rPr>
                <w:rFonts w:asciiTheme="minorHAnsi" w:hAnsiTheme="minorHAnsi" w:cs="Arial"/>
                <w:color w:val="0D0D0D" w:themeColor="text1" w:themeTint="F2"/>
              </w:rPr>
              <w:t>at break and</w:t>
            </w:r>
            <w:r>
              <w:rPr>
                <w:rFonts w:asciiTheme="minorHAnsi" w:hAnsiTheme="minorHAnsi" w:cs="Arial"/>
                <w:color w:val="0D0D0D" w:themeColor="text1" w:themeTint="F2"/>
              </w:rPr>
              <w:t xml:space="preserve"> lunchtime. This has contributed to our ‘never give up’ attitude whereby children have challenged themselves to</w:t>
            </w:r>
            <w:r w:rsidR="004340E7">
              <w:rPr>
                <w:rFonts w:asciiTheme="minorHAnsi" w:hAnsiTheme="minorHAnsi" w:cs="Arial"/>
                <w:color w:val="0D0D0D" w:themeColor="text1" w:themeTint="F2"/>
              </w:rPr>
              <w:t xml:space="preserve"> be involved in new experiences.</w:t>
            </w:r>
            <w:r w:rsidR="00D90E74">
              <w:rPr>
                <w:rFonts w:asciiTheme="minorHAnsi" w:hAnsiTheme="minorHAnsi" w:cs="Arial"/>
                <w:color w:val="0D0D0D" w:themeColor="text1" w:themeTint="F2"/>
              </w:rPr>
              <w:t xml:space="preserve"> </w:t>
            </w:r>
          </w:p>
          <w:p w14:paraId="3A0DB3C9" w14:textId="77777777" w:rsidR="004340E7" w:rsidRDefault="004340E7" w:rsidP="00B609C9">
            <w:pPr>
              <w:spacing w:line="288" w:lineRule="auto"/>
              <w:rPr>
                <w:rFonts w:asciiTheme="minorHAnsi" w:hAnsiTheme="minorHAnsi" w:cs="Arial"/>
                <w:color w:val="0D0D0D" w:themeColor="text1" w:themeTint="F2"/>
              </w:rPr>
            </w:pPr>
          </w:p>
          <w:p w14:paraId="40F207C1" w14:textId="02898D15" w:rsidR="00B609C9" w:rsidRPr="002B0C1F" w:rsidRDefault="00D557A0" w:rsidP="00B609C9">
            <w:pPr>
              <w:spacing w:after="240" w:line="288" w:lineRule="auto"/>
              <w:rPr>
                <w:rFonts w:asciiTheme="minorHAnsi" w:hAnsiTheme="minorHAnsi" w:cs="Arial"/>
                <w:color w:val="0D0D0D" w:themeColor="text1" w:themeTint="F2"/>
              </w:rPr>
            </w:pPr>
            <w:r>
              <w:rPr>
                <w:rFonts w:asciiTheme="minorHAnsi" w:hAnsiTheme="minorHAnsi" w:cs="Arial"/>
                <w:color w:val="0D0D0D" w:themeColor="text1" w:themeTint="F2"/>
              </w:rPr>
              <w:t xml:space="preserve">Regular </w:t>
            </w:r>
            <w:r w:rsidR="00B609C9">
              <w:rPr>
                <w:rFonts w:asciiTheme="minorHAnsi" w:hAnsiTheme="minorHAnsi" w:cs="Arial"/>
                <w:color w:val="0D0D0D" w:themeColor="text1" w:themeTint="F2"/>
              </w:rPr>
              <w:t>Pupil progress meetings</w:t>
            </w:r>
            <w:r w:rsidR="00311C61">
              <w:rPr>
                <w:rFonts w:asciiTheme="minorHAnsi" w:hAnsiTheme="minorHAnsi" w:cs="Arial"/>
                <w:color w:val="0D0D0D" w:themeColor="text1" w:themeTint="F2"/>
              </w:rPr>
              <w:t xml:space="preserve"> have </w:t>
            </w:r>
            <w:r>
              <w:rPr>
                <w:rFonts w:asciiTheme="minorHAnsi" w:hAnsiTheme="minorHAnsi" w:cs="Arial"/>
                <w:color w:val="0D0D0D" w:themeColor="text1" w:themeTint="F2"/>
              </w:rPr>
              <w:t xml:space="preserve">also </w:t>
            </w:r>
            <w:r w:rsidR="00311C61">
              <w:rPr>
                <w:rFonts w:asciiTheme="minorHAnsi" w:hAnsiTheme="minorHAnsi" w:cs="Arial"/>
                <w:color w:val="0D0D0D" w:themeColor="text1" w:themeTint="F2"/>
              </w:rPr>
              <w:t>contributed to th</w:t>
            </w:r>
            <w:r>
              <w:rPr>
                <w:rFonts w:asciiTheme="minorHAnsi" w:hAnsiTheme="minorHAnsi" w:cs="Arial"/>
                <w:color w:val="0D0D0D" w:themeColor="text1" w:themeTint="F2"/>
              </w:rPr>
              <w:t>e above</w:t>
            </w:r>
            <w:r w:rsidR="00B609C9">
              <w:rPr>
                <w:rFonts w:asciiTheme="minorHAnsi" w:hAnsiTheme="minorHAnsi" w:cs="Arial"/>
                <w:color w:val="0D0D0D" w:themeColor="text1" w:themeTint="F2"/>
              </w:rPr>
              <w:t>.</w:t>
            </w:r>
          </w:p>
        </w:tc>
        <w:tc>
          <w:tcPr>
            <w:tcW w:w="2126" w:type="dxa"/>
          </w:tcPr>
          <w:p w14:paraId="11F11C46" w14:textId="28A365B8" w:rsidR="0043542A" w:rsidRPr="002B0C1F" w:rsidRDefault="00561E55" w:rsidP="00543A09">
            <w:pPr>
              <w:spacing w:after="240" w:line="288" w:lineRule="auto"/>
              <w:rPr>
                <w:rFonts w:asciiTheme="minorHAnsi" w:hAnsiTheme="minorHAnsi" w:cs="Arial"/>
                <w:color w:val="0D0D0D" w:themeColor="text1" w:themeTint="F2"/>
              </w:rPr>
            </w:pPr>
            <w:r>
              <w:rPr>
                <w:rFonts w:asciiTheme="minorHAnsi" w:hAnsiTheme="minorHAnsi" w:cs="Arial"/>
                <w:color w:val="0D0D0D" w:themeColor="text1" w:themeTint="F2"/>
              </w:rPr>
              <w:t>£</w:t>
            </w:r>
            <w:r w:rsidR="0043542A">
              <w:rPr>
                <w:rFonts w:asciiTheme="minorHAnsi" w:hAnsiTheme="minorHAnsi" w:cs="Arial"/>
                <w:color w:val="0D0D0D" w:themeColor="text1" w:themeTint="F2"/>
              </w:rPr>
              <w:t>4</w:t>
            </w:r>
            <w:r>
              <w:rPr>
                <w:rFonts w:asciiTheme="minorHAnsi" w:hAnsiTheme="minorHAnsi" w:cs="Arial"/>
                <w:color w:val="0D0D0D" w:themeColor="text1" w:themeTint="F2"/>
              </w:rPr>
              <w:t>,000</w:t>
            </w:r>
          </w:p>
        </w:tc>
      </w:tr>
      <w:tr w:rsidR="00B609C9" w:rsidRPr="002B0C1F" w14:paraId="438E6F72" w14:textId="77777777" w:rsidTr="008B4054">
        <w:trPr>
          <w:trHeight w:hRule="exact" w:val="6588"/>
        </w:trPr>
        <w:tc>
          <w:tcPr>
            <w:tcW w:w="3794" w:type="dxa"/>
            <w:tcMar>
              <w:top w:w="57" w:type="dxa"/>
              <w:bottom w:w="57" w:type="dxa"/>
            </w:tcMar>
          </w:tcPr>
          <w:p w14:paraId="613550C0" w14:textId="36453E26" w:rsidR="00B609C9" w:rsidRPr="002B0C1F" w:rsidRDefault="00B609C9" w:rsidP="00543A09">
            <w:pPr>
              <w:spacing w:after="240" w:line="288" w:lineRule="auto"/>
              <w:rPr>
                <w:rFonts w:asciiTheme="minorHAnsi" w:hAnsiTheme="minorHAnsi" w:cs="Arial"/>
                <w:color w:val="0D0D0D" w:themeColor="text1" w:themeTint="F2"/>
              </w:rPr>
            </w:pPr>
            <w:r>
              <w:rPr>
                <w:rFonts w:asciiTheme="minorHAnsi" w:hAnsiTheme="minorHAnsi" w:cs="Arial"/>
                <w:color w:val="0D0D0D" w:themeColor="text1" w:themeTint="F2"/>
              </w:rPr>
              <w:lastRenderedPageBreak/>
              <w:t>Ensure there is high quality teaching for all.</w:t>
            </w:r>
          </w:p>
        </w:tc>
        <w:tc>
          <w:tcPr>
            <w:tcW w:w="4252" w:type="dxa"/>
            <w:tcMar>
              <w:top w:w="57" w:type="dxa"/>
              <w:bottom w:w="57" w:type="dxa"/>
            </w:tcMar>
          </w:tcPr>
          <w:p w14:paraId="196E08CE" w14:textId="77777777" w:rsidR="00B609C9" w:rsidRDefault="00B609C9" w:rsidP="00543A09">
            <w:pPr>
              <w:spacing w:line="288" w:lineRule="auto"/>
              <w:rPr>
                <w:rFonts w:asciiTheme="minorHAnsi" w:hAnsiTheme="minorHAnsi" w:cs="Arial"/>
                <w:color w:val="0D0D0D" w:themeColor="text1" w:themeTint="F2"/>
              </w:rPr>
            </w:pPr>
            <w:r>
              <w:rPr>
                <w:rFonts w:asciiTheme="minorHAnsi" w:hAnsiTheme="minorHAnsi" w:cs="Arial"/>
                <w:color w:val="0D0D0D" w:themeColor="text1" w:themeTint="F2"/>
              </w:rPr>
              <w:t>CPD opportunities for teaching staff.</w:t>
            </w:r>
          </w:p>
          <w:p w14:paraId="2D5487E0" w14:textId="77777777" w:rsidR="00B609C9" w:rsidRDefault="00B609C9" w:rsidP="00543A09">
            <w:pPr>
              <w:spacing w:line="288" w:lineRule="auto"/>
              <w:rPr>
                <w:rFonts w:asciiTheme="minorHAnsi" w:hAnsiTheme="minorHAnsi" w:cs="Arial"/>
                <w:color w:val="0D0D0D" w:themeColor="text1" w:themeTint="F2"/>
              </w:rPr>
            </w:pPr>
          </w:p>
          <w:p w14:paraId="662589D6" w14:textId="77777777" w:rsidR="004340E7" w:rsidRDefault="004340E7" w:rsidP="00543A09">
            <w:pPr>
              <w:spacing w:line="288" w:lineRule="auto"/>
              <w:rPr>
                <w:rFonts w:asciiTheme="minorHAnsi" w:hAnsiTheme="minorHAnsi" w:cs="Arial"/>
                <w:color w:val="0D0D0D" w:themeColor="text1" w:themeTint="F2"/>
              </w:rPr>
            </w:pPr>
          </w:p>
          <w:p w14:paraId="1EED6954" w14:textId="5BABBAAE" w:rsidR="00B609C9" w:rsidRDefault="00B609C9" w:rsidP="00543A09">
            <w:pPr>
              <w:spacing w:line="288" w:lineRule="auto"/>
              <w:rPr>
                <w:rFonts w:asciiTheme="minorHAnsi" w:hAnsiTheme="minorHAnsi" w:cs="Arial"/>
                <w:color w:val="0D0D0D" w:themeColor="text1" w:themeTint="F2"/>
              </w:rPr>
            </w:pPr>
            <w:r>
              <w:rPr>
                <w:rFonts w:asciiTheme="minorHAnsi" w:hAnsiTheme="minorHAnsi" w:cs="Arial"/>
                <w:color w:val="0D0D0D" w:themeColor="text1" w:themeTint="F2"/>
              </w:rPr>
              <w:t>Targeted support for specific year groups.</w:t>
            </w:r>
          </w:p>
          <w:p w14:paraId="14EE83E6" w14:textId="77777777" w:rsidR="00B609C9" w:rsidRDefault="00B609C9" w:rsidP="00543A09">
            <w:pPr>
              <w:spacing w:line="288" w:lineRule="auto"/>
              <w:rPr>
                <w:rFonts w:asciiTheme="minorHAnsi" w:hAnsiTheme="minorHAnsi" w:cs="Arial"/>
                <w:color w:val="0D0D0D" w:themeColor="text1" w:themeTint="F2"/>
              </w:rPr>
            </w:pPr>
          </w:p>
          <w:p w14:paraId="4B607756" w14:textId="77777777" w:rsidR="004340E7" w:rsidRDefault="004340E7" w:rsidP="00543A09">
            <w:pPr>
              <w:spacing w:after="240" w:line="288" w:lineRule="auto"/>
              <w:rPr>
                <w:rFonts w:asciiTheme="minorHAnsi" w:hAnsiTheme="minorHAnsi" w:cs="Arial"/>
                <w:color w:val="0D0D0D" w:themeColor="text1" w:themeTint="F2"/>
              </w:rPr>
            </w:pPr>
          </w:p>
          <w:p w14:paraId="75A86872" w14:textId="77777777" w:rsidR="004340E7" w:rsidRDefault="004340E7" w:rsidP="00543A09">
            <w:pPr>
              <w:spacing w:after="240" w:line="288" w:lineRule="auto"/>
              <w:rPr>
                <w:rFonts w:asciiTheme="minorHAnsi" w:hAnsiTheme="minorHAnsi" w:cs="Arial"/>
                <w:color w:val="0D0D0D" w:themeColor="text1" w:themeTint="F2"/>
              </w:rPr>
            </w:pPr>
          </w:p>
          <w:p w14:paraId="362416E8" w14:textId="0B1152D8" w:rsidR="004340E7" w:rsidRDefault="004340E7" w:rsidP="00543A09">
            <w:pPr>
              <w:spacing w:after="240" w:line="288" w:lineRule="auto"/>
              <w:rPr>
                <w:rFonts w:asciiTheme="minorHAnsi" w:hAnsiTheme="minorHAnsi" w:cs="Arial"/>
                <w:color w:val="0D0D0D" w:themeColor="text1" w:themeTint="F2"/>
              </w:rPr>
            </w:pPr>
          </w:p>
          <w:p w14:paraId="32A3EEFA" w14:textId="77777777" w:rsidR="005B4634" w:rsidRDefault="005B4634" w:rsidP="00543A09">
            <w:pPr>
              <w:spacing w:after="240" w:line="288" w:lineRule="auto"/>
              <w:rPr>
                <w:rFonts w:asciiTheme="minorHAnsi" w:hAnsiTheme="minorHAnsi" w:cs="Arial"/>
                <w:color w:val="0D0D0D" w:themeColor="text1" w:themeTint="F2"/>
              </w:rPr>
            </w:pPr>
          </w:p>
          <w:p w14:paraId="206EECFF" w14:textId="77777777" w:rsidR="005B4634" w:rsidRDefault="005B4634" w:rsidP="00543A09">
            <w:pPr>
              <w:spacing w:after="240" w:line="288" w:lineRule="auto"/>
              <w:rPr>
                <w:rFonts w:asciiTheme="minorHAnsi" w:hAnsiTheme="minorHAnsi" w:cs="Arial"/>
                <w:color w:val="0D0D0D" w:themeColor="text1" w:themeTint="F2"/>
              </w:rPr>
            </w:pPr>
          </w:p>
          <w:p w14:paraId="5567CA7D" w14:textId="3D632AD4" w:rsidR="00B609C9" w:rsidRPr="002B0C1F" w:rsidRDefault="00B609C9" w:rsidP="00543A09">
            <w:pPr>
              <w:spacing w:after="240" w:line="288" w:lineRule="auto"/>
              <w:rPr>
                <w:rFonts w:asciiTheme="minorHAnsi" w:hAnsiTheme="minorHAnsi" w:cs="Arial"/>
                <w:color w:val="0D0D0D" w:themeColor="text1" w:themeTint="F2"/>
              </w:rPr>
            </w:pPr>
            <w:r>
              <w:rPr>
                <w:rFonts w:asciiTheme="minorHAnsi" w:hAnsiTheme="minorHAnsi" w:cs="Arial"/>
                <w:color w:val="0D0D0D" w:themeColor="text1" w:themeTint="F2"/>
              </w:rPr>
              <w:t>Monitor staff using effective strategies for Quality First Teaching, including Assessment for Learning.</w:t>
            </w:r>
          </w:p>
        </w:tc>
        <w:tc>
          <w:tcPr>
            <w:tcW w:w="4962" w:type="dxa"/>
            <w:tcMar>
              <w:top w:w="57" w:type="dxa"/>
              <w:bottom w:w="57" w:type="dxa"/>
            </w:tcMar>
          </w:tcPr>
          <w:p w14:paraId="047DB8A2" w14:textId="77777777" w:rsidR="00B609C9" w:rsidRDefault="004340E7" w:rsidP="00543A09">
            <w:pPr>
              <w:spacing w:after="240" w:line="288" w:lineRule="auto"/>
              <w:rPr>
                <w:rFonts w:asciiTheme="minorHAnsi" w:hAnsiTheme="minorHAnsi" w:cs="Arial"/>
                <w:color w:val="0D0D0D" w:themeColor="text1" w:themeTint="F2"/>
              </w:rPr>
            </w:pPr>
            <w:r>
              <w:rPr>
                <w:rFonts w:asciiTheme="minorHAnsi" w:hAnsiTheme="minorHAnsi" w:cs="Arial"/>
                <w:color w:val="0D0D0D" w:themeColor="text1" w:themeTint="F2"/>
              </w:rPr>
              <w:t>All teachers attend training relevant to their year groups or subject.</w:t>
            </w:r>
          </w:p>
          <w:p w14:paraId="1290E4F1" w14:textId="05DB9ABC" w:rsidR="004340E7" w:rsidRDefault="004340E7" w:rsidP="004340E7">
            <w:pPr>
              <w:spacing w:after="240" w:line="288" w:lineRule="auto"/>
              <w:rPr>
                <w:rFonts w:asciiTheme="minorHAnsi" w:hAnsiTheme="minorHAnsi" w:cs="Arial"/>
                <w:color w:val="0D0D0D" w:themeColor="text1" w:themeTint="F2"/>
              </w:rPr>
            </w:pPr>
            <w:r>
              <w:rPr>
                <w:rFonts w:asciiTheme="minorHAnsi" w:hAnsiTheme="minorHAnsi" w:cs="Arial"/>
                <w:color w:val="0D0D0D" w:themeColor="text1" w:themeTint="F2"/>
              </w:rPr>
              <w:t>Phase leads have focused on making sure that new and existing teachers focus on overcoming children’s barriers to learning. Timetabling TA time across paired year groups to free teacher to target specific groups has meant that expected standard or greater depth has been reached. Children with significant needs who are PP have been referred to outside agencies and their needs have been addressed as well as possible in a mainstream setting.</w:t>
            </w:r>
          </w:p>
          <w:p w14:paraId="4F48F81C" w14:textId="77777777" w:rsidR="005B4634" w:rsidRDefault="005B4634" w:rsidP="004340E7">
            <w:pPr>
              <w:spacing w:after="240" w:line="288" w:lineRule="auto"/>
              <w:rPr>
                <w:rFonts w:asciiTheme="minorHAnsi" w:hAnsiTheme="minorHAnsi" w:cs="Arial"/>
                <w:color w:val="0D0D0D" w:themeColor="text1" w:themeTint="F2"/>
              </w:rPr>
            </w:pPr>
          </w:p>
          <w:p w14:paraId="54CBC46F" w14:textId="671EE029" w:rsidR="004340E7" w:rsidRDefault="005B4634" w:rsidP="004340E7">
            <w:pPr>
              <w:spacing w:after="240" w:line="288" w:lineRule="auto"/>
              <w:rPr>
                <w:rFonts w:asciiTheme="minorHAnsi" w:hAnsiTheme="minorHAnsi" w:cs="Arial"/>
                <w:color w:val="0D0D0D" w:themeColor="text1" w:themeTint="F2"/>
              </w:rPr>
            </w:pPr>
            <w:r>
              <w:rPr>
                <w:rFonts w:asciiTheme="minorHAnsi" w:hAnsiTheme="minorHAnsi" w:cs="Arial"/>
                <w:color w:val="0D0D0D" w:themeColor="text1" w:themeTint="F2"/>
              </w:rPr>
              <w:t>Phase leads have m</w:t>
            </w:r>
            <w:r w:rsidR="004340E7">
              <w:rPr>
                <w:rFonts w:asciiTheme="minorHAnsi" w:hAnsiTheme="minorHAnsi" w:cs="Arial"/>
                <w:color w:val="0D0D0D" w:themeColor="text1" w:themeTint="F2"/>
              </w:rPr>
              <w:t>ade new staff aware of ‘live marking’ to ensure that children understand their learning intention. If they don’t</w:t>
            </w:r>
            <w:r w:rsidR="000958E7">
              <w:rPr>
                <w:rFonts w:asciiTheme="minorHAnsi" w:hAnsiTheme="minorHAnsi" w:cs="Arial"/>
                <w:color w:val="0D0D0D" w:themeColor="text1" w:themeTint="F2"/>
              </w:rPr>
              <w:t>,</w:t>
            </w:r>
            <w:r w:rsidR="004340E7">
              <w:rPr>
                <w:rFonts w:asciiTheme="minorHAnsi" w:hAnsiTheme="minorHAnsi" w:cs="Arial"/>
                <w:color w:val="0D0D0D" w:themeColor="text1" w:themeTint="F2"/>
              </w:rPr>
              <w:t xml:space="preserve"> editing takes place with teacher and the pupil indicates changes made in green pen.  </w:t>
            </w:r>
          </w:p>
          <w:p w14:paraId="09CFF71A" w14:textId="5B5F9036" w:rsidR="004340E7" w:rsidRPr="002B0C1F" w:rsidRDefault="00561E55" w:rsidP="00543A09">
            <w:pPr>
              <w:spacing w:after="240" w:line="288" w:lineRule="auto"/>
              <w:rPr>
                <w:rFonts w:asciiTheme="minorHAnsi" w:hAnsiTheme="minorHAnsi" w:cs="Arial"/>
                <w:color w:val="0D0D0D" w:themeColor="text1" w:themeTint="F2"/>
              </w:rPr>
            </w:pPr>
            <w:r>
              <w:rPr>
                <w:rFonts w:asciiTheme="minorHAnsi" w:hAnsiTheme="minorHAnsi" w:cs="Arial"/>
                <w:color w:val="0D0D0D" w:themeColor="text1" w:themeTint="F2"/>
              </w:rPr>
              <w:t>JM – Teacher additional support in Y2 and Y6 to ensure at end of key stages PP children are at the expected standard or above.</w:t>
            </w:r>
          </w:p>
        </w:tc>
        <w:tc>
          <w:tcPr>
            <w:tcW w:w="2126" w:type="dxa"/>
          </w:tcPr>
          <w:p w14:paraId="1C887625" w14:textId="77777777" w:rsidR="00B609C9" w:rsidRDefault="00561E55" w:rsidP="00543A09">
            <w:pPr>
              <w:spacing w:after="240" w:line="288" w:lineRule="auto"/>
              <w:rPr>
                <w:rFonts w:asciiTheme="minorHAnsi" w:hAnsiTheme="minorHAnsi" w:cs="Arial"/>
                <w:color w:val="0D0D0D" w:themeColor="text1" w:themeTint="F2"/>
              </w:rPr>
            </w:pPr>
            <w:r>
              <w:rPr>
                <w:rFonts w:asciiTheme="minorHAnsi" w:hAnsiTheme="minorHAnsi" w:cs="Arial"/>
                <w:color w:val="0D0D0D" w:themeColor="text1" w:themeTint="F2"/>
              </w:rPr>
              <w:t>£2</w:t>
            </w:r>
            <w:r w:rsidR="0043542A">
              <w:rPr>
                <w:rFonts w:asciiTheme="minorHAnsi" w:hAnsiTheme="minorHAnsi" w:cs="Arial"/>
                <w:color w:val="0D0D0D" w:themeColor="text1" w:themeTint="F2"/>
              </w:rPr>
              <w:t>4</w:t>
            </w:r>
            <w:r>
              <w:rPr>
                <w:rFonts w:asciiTheme="minorHAnsi" w:hAnsiTheme="minorHAnsi" w:cs="Arial"/>
                <w:color w:val="0D0D0D" w:themeColor="text1" w:themeTint="F2"/>
              </w:rPr>
              <w:t xml:space="preserve">,200 </w:t>
            </w:r>
          </w:p>
          <w:p w14:paraId="6FDB1A57" w14:textId="243C1288" w:rsidR="008C7819" w:rsidRPr="002B0C1F" w:rsidRDefault="008C7819" w:rsidP="00543A09">
            <w:pPr>
              <w:spacing w:after="240" w:line="288" w:lineRule="auto"/>
              <w:rPr>
                <w:rFonts w:asciiTheme="minorHAnsi" w:hAnsiTheme="minorHAnsi" w:cs="Arial"/>
                <w:color w:val="0D0D0D" w:themeColor="text1" w:themeTint="F2"/>
              </w:rPr>
            </w:pPr>
            <w:r>
              <w:rPr>
                <w:rFonts w:asciiTheme="minorHAnsi" w:hAnsiTheme="minorHAnsi" w:cs="Arial"/>
                <w:color w:val="0D0D0D" w:themeColor="text1" w:themeTint="F2"/>
              </w:rPr>
              <w:t>£28,015</w:t>
            </w:r>
          </w:p>
        </w:tc>
      </w:tr>
    </w:tbl>
    <w:p w14:paraId="4A563B5C" w14:textId="77777777" w:rsidR="002B0C1F" w:rsidRPr="002B0C1F" w:rsidRDefault="002B0C1F" w:rsidP="002B0C1F">
      <w:pPr>
        <w:spacing w:after="240" w:line="288" w:lineRule="auto"/>
        <w:rPr>
          <w:rFonts w:eastAsia="Times New Roman" w:cs="Times New Roman"/>
          <w:color w:val="0D0D0D" w:themeColor="text1" w:themeTint="F2"/>
          <w:sz w:val="20"/>
          <w:szCs w:val="20"/>
          <w:lang w:eastAsia="en-GB"/>
        </w:rPr>
      </w:pPr>
      <w:r w:rsidRPr="002B0C1F">
        <w:rPr>
          <w:rFonts w:eastAsia="Times New Roman" w:cs="Times New Roman"/>
          <w:color w:val="0D0D0D" w:themeColor="text1" w:themeTint="F2"/>
          <w:sz w:val="20"/>
          <w:szCs w:val="20"/>
          <w:lang w:eastAsia="en-GB"/>
        </w:rPr>
        <w:br w:type="page"/>
      </w:r>
    </w:p>
    <w:tbl>
      <w:tblPr>
        <w:tblStyle w:val="TableGrid"/>
        <w:tblW w:w="14992" w:type="dxa"/>
        <w:tblLayout w:type="fixed"/>
        <w:tblLook w:val="04A0" w:firstRow="1" w:lastRow="0" w:firstColumn="1" w:lastColumn="0" w:noHBand="0" w:noVBand="1"/>
      </w:tblPr>
      <w:tblGrid>
        <w:gridCol w:w="3794"/>
        <w:gridCol w:w="3827"/>
        <w:gridCol w:w="5274"/>
        <w:gridCol w:w="2097"/>
      </w:tblGrid>
      <w:tr w:rsidR="00B609C9" w:rsidRPr="002B0C1F" w14:paraId="53A5490C" w14:textId="77777777" w:rsidTr="00C836DE">
        <w:trPr>
          <w:trHeight w:hRule="exact" w:val="6305"/>
        </w:trPr>
        <w:tc>
          <w:tcPr>
            <w:tcW w:w="3794" w:type="dxa"/>
            <w:tcMar>
              <w:top w:w="57" w:type="dxa"/>
              <w:bottom w:w="57" w:type="dxa"/>
            </w:tcMar>
          </w:tcPr>
          <w:p w14:paraId="74341519" w14:textId="563F22D2" w:rsidR="00B609C9" w:rsidRPr="002B0C1F" w:rsidRDefault="00B609C9" w:rsidP="00543A09">
            <w:pPr>
              <w:spacing w:after="240" w:line="288" w:lineRule="auto"/>
              <w:rPr>
                <w:rFonts w:asciiTheme="minorHAnsi" w:hAnsiTheme="minorHAnsi" w:cs="Arial"/>
                <w:color w:val="0D0D0D" w:themeColor="text1" w:themeTint="F2"/>
              </w:rPr>
            </w:pPr>
            <w:r>
              <w:rPr>
                <w:rFonts w:asciiTheme="minorHAnsi" w:hAnsiTheme="minorHAnsi" w:cs="Arial"/>
                <w:color w:val="0D0D0D" w:themeColor="text1" w:themeTint="F2"/>
              </w:rPr>
              <w:lastRenderedPageBreak/>
              <w:t xml:space="preserve">Focused interventions to close the gap in attainment between PP and </w:t>
            </w:r>
            <w:r w:rsidR="00D557A0">
              <w:rPr>
                <w:rFonts w:asciiTheme="minorHAnsi" w:hAnsiTheme="minorHAnsi" w:cs="Arial"/>
                <w:color w:val="0D0D0D" w:themeColor="text1" w:themeTint="F2"/>
              </w:rPr>
              <w:t>non-PP</w:t>
            </w:r>
            <w:r>
              <w:rPr>
                <w:rFonts w:asciiTheme="minorHAnsi" w:hAnsiTheme="minorHAnsi" w:cs="Arial"/>
                <w:color w:val="0D0D0D" w:themeColor="text1" w:themeTint="F2"/>
              </w:rPr>
              <w:t xml:space="preserve"> pupils for reading, writing and maths.</w:t>
            </w:r>
          </w:p>
        </w:tc>
        <w:tc>
          <w:tcPr>
            <w:tcW w:w="3827" w:type="dxa"/>
            <w:tcMar>
              <w:top w:w="57" w:type="dxa"/>
              <w:bottom w:w="57" w:type="dxa"/>
            </w:tcMar>
          </w:tcPr>
          <w:p w14:paraId="45F69AD7" w14:textId="77777777" w:rsidR="00B609C9" w:rsidRPr="00C4704C" w:rsidRDefault="00B609C9" w:rsidP="00543A09">
            <w:pPr>
              <w:spacing w:line="288" w:lineRule="auto"/>
              <w:rPr>
                <w:rFonts w:asciiTheme="minorHAnsi" w:hAnsiTheme="minorHAnsi" w:cs="Arial"/>
                <w:color w:val="0D0D0D" w:themeColor="text1" w:themeTint="F2"/>
              </w:rPr>
            </w:pPr>
            <w:r>
              <w:rPr>
                <w:rFonts w:asciiTheme="minorHAnsi" w:hAnsiTheme="minorHAnsi" w:cs="Arial"/>
                <w:color w:val="0D0D0D" w:themeColor="text1" w:themeTint="F2"/>
              </w:rPr>
              <w:t>▫</w:t>
            </w:r>
            <w:r w:rsidRPr="00C4704C">
              <w:rPr>
                <w:rFonts w:asciiTheme="minorHAnsi" w:hAnsiTheme="minorHAnsi" w:cs="Arial"/>
                <w:color w:val="0D0D0D" w:themeColor="text1" w:themeTint="F2"/>
              </w:rPr>
              <w:t>Reading plus</w:t>
            </w:r>
            <w:r>
              <w:rPr>
                <w:rFonts w:asciiTheme="minorHAnsi" w:hAnsiTheme="minorHAnsi" w:cs="Arial"/>
                <w:color w:val="0D0D0D" w:themeColor="text1" w:themeTint="F2"/>
              </w:rPr>
              <w:t xml:space="preserve"> – develops fluency and stamina. Builds vocabulary and comprehension skills. Also, addresses children’s interests to increase confidence and motivation.</w:t>
            </w:r>
          </w:p>
          <w:p w14:paraId="209F00A6" w14:textId="77777777" w:rsidR="00B609C9" w:rsidRDefault="00B609C9" w:rsidP="00543A09">
            <w:pPr>
              <w:spacing w:line="288" w:lineRule="auto"/>
              <w:rPr>
                <w:rFonts w:asciiTheme="minorHAnsi" w:hAnsiTheme="minorHAnsi" w:cs="Arial"/>
                <w:color w:val="0D0D0D" w:themeColor="text1" w:themeTint="F2"/>
              </w:rPr>
            </w:pPr>
            <w:r>
              <w:rPr>
                <w:rFonts w:asciiTheme="minorHAnsi" w:hAnsiTheme="minorHAnsi" w:cs="Arial"/>
                <w:color w:val="0D0D0D" w:themeColor="text1" w:themeTint="F2"/>
              </w:rPr>
              <w:t xml:space="preserve">▫ </w:t>
            </w:r>
            <w:r w:rsidRPr="00C4704C">
              <w:rPr>
                <w:rFonts w:asciiTheme="minorHAnsi" w:hAnsiTheme="minorHAnsi" w:cs="Arial"/>
                <w:color w:val="0D0D0D" w:themeColor="text1" w:themeTint="F2"/>
              </w:rPr>
              <w:t>Lexia trial</w:t>
            </w:r>
          </w:p>
          <w:p w14:paraId="3CE263CA" w14:textId="3C829603" w:rsidR="00C836DE" w:rsidRDefault="00B609C9" w:rsidP="00543A09">
            <w:pPr>
              <w:spacing w:line="288" w:lineRule="auto"/>
              <w:rPr>
                <w:rFonts w:asciiTheme="minorHAnsi" w:hAnsiTheme="minorHAnsi" w:cs="Arial"/>
                <w:color w:val="0D0D0D" w:themeColor="text1" w:themeTint="F2"/>
              </w:rPr>
            </w:pPr>
            <w:r>
              <w:rPr>
                <w:rFonts w:asciiTheme="minorHAnsi" w:hAnsiTheme="minorHAnsi" w:cs="Arial"/>
                <w:color w:val="0D0D0D" w:themeColor="text1" w:themeTint="F2"/>
              </w:rPr>
              <w:t xml:space="preserve">▫Talk boost intervention </w:t>
            </w:r>
            <w:r w:rsidR="00C836DE">
              <w:rPr>
                <w:rFonts w:asciiTheme="minorHAnsi" w:hAnsiTheme="minorHAnsi" w:cs="Arial"/>
                <w:color w:val="0D0D0D" w:themeColor="text1" w:themeTint="F2"/>
              </w:rPr>
              <w:t>–</w:t>
            </w:r>
            <w:r>
              <w:rPr>
                <w:rFonts w:asciiTheme="minorHAnsi" w:hAnsiTheme="minorHAnsi" w:cs="Arial"/>
                <w:color w:val="0D0D0D" w:themeColor="text1" w:themeTint="F2"/>
              </w:rPr>
              <w:t xml:space="preserve"> EYFS</w:t>
            </w:r>
            <w:r w:rsidR="00C836DE">
              <w:rPr>
                <w:rFonts w:asciiTheme="minorHAnsi" w:hAnsiTheme="minorHAnsi" w:cs="Arial"/>
                <w:color w:val="0D0D0D" w:themeColor="text1" w:themeTint="F2"/>
              </w:rPr>
              <w:t xml:space="preserve"> and Y1</w:t>
            </w:r>
          </w:p>
          <w:p w14:paraId="100C1CB2" w14:textId="77777777" w:rsidR="00B609C9" w:rsidRDefault="00B609C9" w:rsidP="00543A09">
            <w:pPr>
              <w:spacing w:line="288" w:lineRule="auto"/>
              <w:rPr>
                <w:rFonts w:asciiTheme="minorHAnsi" w:hAnsiTheme="minorHAnsi" w:cs="Arial"/>
                <w:color w:val="0D0D0D" w:themeColor="text1" w:themeTint="F2"/>
              </w:rPr>
            </w:pPr>
            <w:r>
              <w:rPr>
                <w:rFonts w:asciiTheme="minorHAnsi" w:hAnsiTheme="minorHAnsi" w:cs="Arial"/>
                <w:color w:val="0D0D0D" w:themeColor="text1" w:themeTint="F2"/>
              </w:rPr>
              <w:t>▫Reading buddies (Peer readers)</w:t>
            </w:r>
          </w:p>
          <w:p w14:paraId="4057E108" w14:textId="77777777" w:rsidR="00B609C9" w:rsidRDefault="00B609C9" w:rsidP="00543A09">
            <w:pPr>
              <w:spacing w:line="288" w:lineRule="auto"/>
              <w:rPr>
                <w:rFonts w:asciiTheme="minorHAnsi" w:hAnsiTheme="minorHAnsi" w:cs="Arial"/>
                <w:color w:val="0D0D0D" w:themeColor="text1" w:themeTint="F2"/>
              </w:rPr>
            </w:pPr>
            <w:r>
              <w:rPr>
                <w:rFonts w:asciiTheme="minorHAnsi" w:hAnsiTheme="minorHAnsi" w:cs="Arial"/>
                <w:color w:val="0D0D0D" w:themeColor="text1" w:themeTint="F2"/>
              </w:rPr>
              <w:t>▫CPD opportunities for teaching staff re: mastery maths</w:t>
            </w:r>
          </w:p>
          <w:p w14:paraId="0D1A5B91" w14:textId="0660D42A" w:rsidR="00B609C9" w:rsidRPr="002B0C1F" w:rsidRDefault="00B609C9" w:rsidP="00543A09">
            <w:pPr>
              <w:spacing w:after="240" w:line="288" w:lineRule="auto"/>
              <w:rPr>
                <w:rFonts w:asciiTheme="minorHAnsi" w:hAnsiTheme="minorHAnsi" w:cs="Arial"/>
                <w:color w:val="0D0D0D" w:themeColor="text1" w:themeTint="F2"/>
              </w:rPr>
            </w:pPr>
            <w:r>
              <w:rPr>
                <w:rFonts w:asciiTheme="minorHAnsi" w:hAnsiTheme="minorHAnsi" w:cs="Arial"/>
                <w:color w:val="0D0D0D" w:themeColor="text1" w:themeTint="F2"/>
              </w:rPr>
              <w:t>▫Maths ‘breaking barriers’ intervention.</w:t>
            </w:r>
          </w:p>
        </w:tc>
        <w:tc>
          <w:tcPr>
            <w:tcW w:w="5274" w:type="dxa"/>
            <w:tcMar>
              <w:top w:w="57" w:type="dxa"/>
              <w:bottom w:w="57" w:type="dxa"/>
            </w:tcMar>
          </w:tcPr>
          <w:p w14:paraId="4B6768B9" w14:textId="3F931048" w:rsidR="00B51BB0" w:rsidRDefault="00B51BB0" w:rsidP="00543A09">
            <w:pPr>
              <w:spacing w:after="240" w:line="288" w:lineRule="auto"/>
              <w:rPr>
                <w:rFonts w:asciiTheme="minorHAnsi" w:hAnsiTheme="minorHAnsi" w:cs="Arial"/>
                <w:color w:val="0D0D0D" w:themeColor="text1" w:themeTint="F2"/>
              </w:rPr>
            </w:pPr>
            <w:r>
              <w:rPr>
                <w:rFonts w:asciiTheme="minorHAnsi" w:hAnsiTheme="minorHAnsi" w:cs="Arial"/>
                <w:color w:val="0D0D0D" w:themeColor="text1" w:themeTint="F2"/>
              </w:rPr>
              <w:t xml:space="preserve">Lexia </w:t>
            </w:r>
            <w:r w:rsidR="00561E55">
              <w:rPr>
                <w:rFonts w:asciiTheme="minorHAnsi" w:hAnsiTheme="minorHAnsi" w:cs="Arial"/>
                <w:color w:val="0D0D0D" w:themeColor="text1" w:themeTint="F2"/>
              </w:rPr>
              <w:t xml:space="preserve">trial – All children </w:t>
            </w:r>
            <w:r w:rsidR="00A83372">
              <w:rPr>
                <w:rFonts w:asciiTheme="minorHAnsi" w:hAnsiTheme="minorHAnsi" w:cs="Arial"/>
                <w:color w:val="0D0D0D" w:themeColor="text1" w:themeTint="F2"/>
              </w:rPr>
              <w:t xml:space="preserve">are </w:t>
            </w:r>
            <w:r w:rsidR="00561E55">
              <w:rPr>
                <w:rFonts w:asciiTheme="minorHAnsi" w:hAnsiTheme="minorHAnsi" w:cs="Arial"/>
                <w:color w:val="0D0D0D" w:themeColor="text1" w:themeTint="F2"/>
              </w:rPr>
              <w:t>showing considerable progress with their reading skills. Trial finishe</w:t>
            </w:r>
            <w:r w:rsidR="00A83372">
              <w:rPr>
                <w:rFonts w:asciiTheme="minorHAnsi" w:hAnsiTheme="minorHAnsi" w:cs="Arial"/>
                <w:color w:val="0D0D0D" w:themeColor="text1" w:themeTint="F2"/>
              </w:rPr>
              <w:t xml:space="preserve">s </w:t>
            </w:r>
            <w:r w:rsidR="00561E55">
              <w:rPr>
                <w:rFonts w:asciiTheme="minorHAnsi" w:hAnsiTheme="minorHAnsi" w:cs="Arial"/>
                <w:color w:val="0D0D0D" w:themeColor="text1" w:themeTint="F2"/>
              </w:rPr>
              <w:t>June ’19.</w:t>
            </w:r>
            <w:r w:rsidR="00A83372">
              <w:rPr>
                <w:rFonts w:asciiTheme="minorHAnsi" w:hAnsiTheme="minorHAnsi" w:cs="Arial"/>
                <w:color w:val="0D0D0D" w:themeColor="text1" w:themeTint="F2"/>
              </w:rPr>
              <w:t xml:space="preserve">  </w:t>
            </w:r>
            <w:r w:rsidR="00E42890">
              <w:rPr>
                <w:rFonts w:asciiTheme="minorHAnsi" w:hAnsiTheme="minorHAnsi" w:cs="Arial"/>
                <w:color w:val="0D0D0D" w:themeColor="text1" w:themeTint="F2"/>
              </w:rPr>
              <w:t xml:space="preserve">                  </w:t>
            </w:r>
            <w:r w:rsidR="00A83372">
              <w:rPr>
                <w:rFonts w:asciiTheme="minorHAnsi" w:hAnsiTheme="minorHAnsi" w:cs="Arial"/>
                <w:color w:val="0D0D0D" w:themeColor="text1" w:themeTint="F2"/>
              </w:rPr>
              <w:t>Lexia update – 6 children were involved in the project. In Sep ‘18 100% of the children were working at below year-level material. In July ’1</w:t>
            </w:r>
            <w:r w:rsidR="00BB0A7F">
              <w:rPr>
                <w:rFonts w:asciiTheme="minorHAnsi" w:hAnsiTheme="minorHAnsi" w:cs="Arial"/>
                <w:color w:val="0D0D0D" w:themeColor="text1" w:themeTint="F2"/>
              </w:rPr>
              <w:t>9</w:t>
            </w:r>
            <w:bookmarkStart w:id="0" w:name="_GoBack"/>
            <w:bookmarkEnd w:id="0"/>
            <w:r w:rsidR="00A83372">
              <w:rPr>
                <w:rFonts w:asciiTheme="minorHAnsi" w:hAnsiTheme="minorHAnsi" w:cs="Arial"/>
                <w:color w:val="0D0D0D" w:themeColor="text1" w:themeTint="F2"/>
              </w:rPr>
              <w:t xml:space="preserve"> 83% were working </w:t>
            </w:r>
            <w:r w:rsidR="007E4E23">
              <w:rPr>
                <w:rFonts w:asciiTheme="minorHAnsi" w:hAnsiTheme="minorHAnsi" w:cs="Arial"/>
                <w:color w:val="0D0D0D" w:themeColor="text1" w:themeTint="F2"/>
              </w:rPr>
              <w:t>on</w:t>
            </w:r>
            <w:r w:rsidR="00A83372">
              <w:rPr>
                <w:rFonts w:asciiTheme="minorHAnsi" w:hAnsiTheme="minorHAnsi" w:cs="Arial"/>
                <w:color w:val="0D0D0D" w:themeColor="text1" w:themeTint="F2"/>
              </w:rPr>
              <w:t xml:space="preserve"> year expected skills and 17% of them had mastered the skills above expectations. This shows clear progress in reading skills.</w:t>
            </w:r>
          </w:p>
          <w:p w14:paraId="10B5F7B1" w14:textId="25978C75" w:rsidR="00E42890" w:rsidRDefault="00E42890" w:rsidP="00543A09">
            <w:pPr>
              <w:spacing w:after="240" w:line="288" w:lineRule="auto"/>
              <w:rPr>
                <w:rFonts w:asciiTheme="minorHAnsi" w:hAnsiTheme="minorHAnsi" w:cs="Arial"/>
                <w:color w:val="0D0D0D" w:themeColor="text1" w:themeTint="F2"/>
              </w:rPr>
            </w:pPr>
            <w:r>
              <w:rPr>
                <w:rFonts w:asciiTheme="minorHAnsi" w:hAnsiTheme="minorHAnsi" w:cs="Arial"/>
                <w:color w:val="0D0D0D" w:themeColor="text1" w:themeTint="F2"/>
              </w:rPr>
              <w:t xml:space="preserve">Reading Plus. From Sep18 – July19 4 PP children used the programme to improve reading skills. All children improved their reading speed in words per minute from the initial baseline. 1 child moved from a Y7 reading level to above a Y13 reading level. 1 child moved from a Y2 to Y5 reading level (moved to our school in Y5) 1 SEN child moved from below Y2 to Y2 level. 1 SEN child moved </w:t>
            </w:r>
            <w:r w:rsidR="003C70FF">
              <w:rPr>
                <w:rFonts w:asciiTheme="minorHAnsi" w:hAnsiTheme="minorHAnsi" w:cs="Arial"/>
                <w:color w:val="0D0D0D" w:themeColor="text1" w:themeTint="F2"/>
              </w:rPr>
              <w:t xml:space="preserve">from below </w:t>
            </w:r>
            <w:r w:rsidR="00C836DE">
              <w:rPr>
                <w:rFonts w:asciiTheme="minorHAnsi" w:hAnsiTheme="minorHAnsi" w:cs="Arial"/>
                <w:color w:val="0D0D0D" w:themeColor="text1" w:themeTint="F2"/>
              </w:rPr>
              <w:t>Y2 to Y4. This shows clear progress in reading skills.</w:t>
            </w:r>
          </w:p>
          <w:p w14:paraId="47378A57" w14:textId="0BC6B2E1" w:rsidR="0043542A" w:rsidRPr="002B0C1F" w:rsidRDefault="00561E55" w:rsidP="00543A09">
            <w:pPr>
              <w:spacing w:after="240" w:line="288" w:lineRule="auto"/>
              <w:rPr>
                <w:rFonts w:asciiTheme="minorHAnsi" w:hAnsiTheme="minorHAnsi" w:cs="Arial"/>
                <w:color w:val="0D0D0D" w:themeColor="text1" w:themeTint="F2"/>
              </w:rPr>
            </w:pPr>
            <w:r>
              <w:rPr>
                <w:rFonts w:asciiTheme="minorHAnsi" w:hAnsiTheme="minorHAnsi" w:cs="Arial"/>
                <w:color w:val="0D0D0D" w:themeColor="text1" w:themeTint="F2"/>
              </w:rPr>
              <w:t>T</w:t>
            </w:r>
            <w:r w:rsidR="00C836DE">
              <w:rPr>
                <w:rFonts w:asciiTheme="minorHAnsi" w:hAnsiTheme="minorHAnsi" w:cs="Arial"/>
                <w:color w:val="0D0D0D" w:themeColor="text1" w:themeTint="F2"/>
              </w:rPr>
              <w:t>alk boost</w:t>
            </w:r>
            <w:r w:rsidR="00CA481A">
              <w:rPr>
                <w:rFonts w:asciiTheme="minorHAnsi" w:hAnsiTheme="minorHAnsi" w:cs="Arial"/>
                <w:color w:val="0D0D0D" w:themeColor="text1" w:themeTint="F2"/>
              </w:rPr>
              <w:t>. All</w:t>
            </w:r>
            <w:r w:rsidR="00C836DE">
              <w:rPr>
                <w:rFonts w:asciiTheme="minorHAnsi" w:hAnsiTheme="minorHAnsi" w:cs="Arial"/>
                <w:color w:val="0D0D0D" w:themeColor="text1" w:themeTint="F2"/>
              </w:rPr>
              <w:t xml:space="preserve"> Reception </w:t>
            </w:r>
            <w:r w:rsidR="00CA481A">
              <w:rPr>
                <w:rFonts w:asciiTheme="minorHAnsi" w:hAnsiTheme="minorHAnsi" w:cs="Arial"/>
                <w:color w:val="0D0D0D" w:themeColor="text1" w:themeTint="F2"/>
              </w:rPr>
              <w:t>and Y1 children passed the talk boost assessment</w:t>
            </w:r>
          </w:p>
        </w:tc>
        <w:tc>
          <w:tcPr>
            <w:tcW w:w="2097" w:type="dxa"/>
          </w:tcPr>
          <w:p w14:paraId="1C53D69C" w14:textId="77777777" w:rsidR="00561E55" w:rsidRDefault="00561E55" w:rsidP="00543A09">
            <w:pPr>
              <w:spacing w:after="240" w:line="288" w:lineRule="auto"/>
              <w:rPr>
                <w:rFonts w:asciiTheme="minorHAnsi" w:hAnsiTheme="minorHAnsi" w:cs="Arial"/>
                <w:color w:val="0D0D0D" w:themeColor="text1" w:themeTint="F2"/>
              </w:rPr>
            </w:pPr>
            <w:r>
              <w:rPr>
                <w:rFonts w:asciiTheme="minorHAnsi" w:hAnsiTheme="minorHAnsi" w:cs="Arial"/>
                <w:color w:val="0D0D0D" w:themeColor="text1" w:themeTint="F2"/>
              </w:rPr>
              <w:t>£</w:t>
            </w:r>
            <w:r w:rsidR="0043542A">
              <w:rPr>
                <w:rFonts w:asciiTheme="minorHAnsi" w:hAnsiTheme="minorHAnsi" w:cs="Arial"/>
                <w:color w:val="0D0D0D" w:themeColor="text1" w:themeTint="F2"/>
              </w:rPr>
              <w:t>3</w:t>
            </w:r>
            <w:r w:rsidR="0035702F">
              <w:rPr>
                <w:rFonts w:asciiTheme="minorHAnsi" w:hAnsiTheme="minorHAnsi" w:cs="Arial"/>
                <w:color w:val="0D0D0D" w:themeColor="text1" w:themeTint="F2"/>
              </w:rPr>
              <w:t>3</w:t>
            </w:r>
            <w:r w:rsidR="0043542A">
              <w:rPr>
                <w:rFonts w:asciiTheme="minorHAnsi" w:hAnsiTheme="minorHAnsi" w:cs="Arial"/>
                <w:color w:val="0D0D0D" w:themeColor="text1" w:themeTint="F2"/>
              </w:rPr>
              <w:t>,229</w:t>
            </w:r>
          </w:p>
          <w:p w14:paraId="2B4D6841" w14:textId="34B100AF" w:rsidR="008C7819" w:rsidRPr="002B0C1F" w:rsidRDefault="008C7819" w:rsidP="00543A09">
            <w:pPr>
              <w:spacing w:after="240" w:line="288" w:lineRule="auto"/>
              <w:rPr>
                <w:rFonts w:asciiTheme="minorHAnsi" w:hAnsiTheme="minorHAnsi" w:cs="Arial"/>
                <w:color w:val="0D0D0D" w:themeColor="text1" w:themeTint="F2"/>
              </w:rPr>
            </w:pPr>
            <w:r>
              <w:rPr>
                <w:rFonts w:asciiTheme="minorHAnsi" w:hAnsiTheme="minorHAnsi" w:cs="Arial"/>
                <w:color w:val="0D0D0D" w:themeColor="text1" w:themeTint="F2"/>
              </w:rPr>
              <w:t>£270</w:t>
            </w:r>
          </w:p>
        </w:tc>
      </w:tr>
      <w:tr w:rsidR="00B609C9" w:rsidRPr="002B0C1F" w14:paraId="7A8F2C63" w14:textId="77777777" w:rsidTr="00A83372">
        <w:trPr>
          <w:trHeight w:hRule="exact" w:val="2901"/>
        </w:trPr>
        <w:tc>
          <w:tcPr>
            <w:tcW w:w="3794" w:type="dxa"/>
            <w:tcMar>
              <w:top w:w="57" w:type="dxa"/>
              <w:bottom w:w="57" w:type="dxa"/>
            </w:tcMar>
          </w:tcPr>
          <w:p w14:paraId="06F03D7C" w14:textId="11F87AA7" w:rsidR="00B609C9" w:rsidRPr="002B0C1F" w:rsidRDefault="00B609C9" w:rsidP="00543A09">
            <w:pPr>
              <w:spacing w:after="240" w:line="288" w:lineRule="auto"/>
              <w:rPr>
                <w:rFonts w:asciiTheme="minorHAnsi" w:hAnsiTheme="minorHAnsi" w:cs="Arial"/>
                <w:color w:val="0D0D0D" w:themeColor="text1" w:themeTint="F2"/>
              </w:rPr>
            </w:pPr>
            <w:r>
              <w:rPr>
                <w:rFonts w:asciiTheme="minorHAnsi" w:hAnsiTheme="minorHAnsi" w:cs="Arial"/>
                <w:color w:val="0D0D0D" w:themeColor="text1" w:themeTint="F2"/>
              </w:rPr>
              <w:t>Meet individual learning needs</w:t>
            </w:r>
            <w:r w:rsidR="0035702F">
              <w:rPr>
                <w:rFonts w:asciiTheme="minorHAnsi" w:hAnsiTheme="minorHAnsi" w:cs="Arial"/>
                <w:color w:val="0D0D0D" w:themeColor="text1" w:themeTint="F2"/>
              </w:rPr>
              <w:t xml:space="preserve"> of PP children</w:t>
            </w:r>
            <w:r>
              <w:rPr>
                <w:rFonts w:asciiTheme="minorHAnsi" w:hAnsiTheme="minorHAnsi" w:cs="Arial"/>
                <w:color w:val="0D0D0D" w:themeColor="text1" w:themeTint="F2"/>
              </w:rPr>
              <w:t xml:space="preserve"> by identifying each child’s challenges.</w:t>
            </w:r>
          </w:p>
        </w:tc>
        <w:tc>
          <w:tcPr>
            <w:tcW w:w="3827" w:type="dxa"/>
            <w:tcMar>
              <w:top w:w="57" w:type="dxa"/>
              <w:bottom w:w="57" w:type="dxa"/>
            </w:tcMar>
          </w:tcPr>
          <w:p w14:paraId="2801C77A" w14:textId="77777777" w:rsidR="00B609C9" w:rsidRDefault="00B609C9" w:rsidP="00543A09">
            <w:pPr>
              <w:spacing w:line="288" w:lineRule="auto"/>
              <w:rPr>
                <w:rFonts w:asciiTheme="minorHAnsi" w:hAnsiTheme="minorHAnsi" w:cs="Arial"/>
                <w:color w:val="0D0D0D" w:themeColor="text1" w:themeTint="F2"/>
              </w:rPr>
            </w:pPr>
            <w:r>
              <w:rPr>
                <w:rFonts w:asciiTheme="minorHAnsi" w:hAnsiTheme="minorHAnsi" w:cs="Arial"/>
                <w:color w:val="0D0D0D" w:themeColor="text1" w:themeTint="F2"/>
              </w:rPr>
              <w:t>▫Pre – learning and post-learning</w:t>
            </w:r>
          </w:p>
          <w:p w14:paraId="674E54A8" w14:textId="77777777" w:rsidR="00B609C9" w:rsidRDefault="00B609C9" w:rsidP="00543A09">
            <w:pPr>
              <w:spacing w:line="288" w:lineRule="auto"/>
              <w:rPr>
                <w:rFonts w:asciiTheme="minorHAnsi" w:hAnsiTheme="minorHAnsi" w:cs="Arial"/>
                <w:color w:val="0D0D0D" w:themeColor="text1" w:themeTint="F2"/>
              </w:rPr>
            </w:pPr>
            <w:r>
              <w:rPr>
                <w:rFonts w:asciiTheme="minorHAnsi" w:hAnsiTheme="minorHAnsi" w:cs="Arial"/>
                <w:color w:val="0D0D0D" w:themeColor="text1" w:themeTint="F2"/>
              </w:rPr>
              <w:t>▫Responsive teaching</w:t>
            </w:r>
          </w:p>
          <w:p w14:paraId="431299DB" w14:textId="77777777" w:rsidR="00B609C9" w:rsidRDefault="00B609C9" w:rsidP="00543A09">
            <w:pPr>
              <w:spacing w:line="288" w:lineRule="auto"/>
              <w:rPr>
                <w:rFonts w:asciiTheme="minorHAnsi" w:hAnsiTheme="minorHAnsi" w:cs="Arial"/>
                <w:color w:val="0D0D0D" w:themeColor="text1" w:themeTint="F2"/>
              </w:rPr>
            </w:pPr>
            <w:r>
              <w:rPr>
                <w:rFonts w:asciiTheme="minorHAnsi" w:hAnsiTheme="minorHAnsi" w:cs="Arial"/>
                <w:color w:val="0D0D0D" w:themeColor="text1" w:themeTint="F2"/>
              </w:rPr>
              <w:t>▫</w:t>
            </w:r>
            <w:proofErr w:type="spellStart"/>
            <w:r>
              <w:rPr>
                <w:rFonts w:asciiTheme="minorHAnsi" w:hAnsiTheme="minorHAnsi" w:cs="Arial"/>
                <w:color w:val="0D0D0D" w:themeColor="text1" w:themeTint="F2"/>
              </w:rPr>
              <w:t>AfL</w:t>
            </w:r>
            <w:proofErr w:type="spellEnd"/>
            <w:r>
              <w:rPr>
                <w:rFonts w:asciiTheme="minorHAnsi" w:hAnsiTheme="minorHAnsi" w:cs="Arial"/>
                <w:color w:val="0D0D0D" w:themeColor="text1" w:themeTint="F2"/>
              </w:rPr>
              <w:t xml:space="preserve"> strategies</w:t>
            </w:r>
          </w:p>
          <w:p w14:paraId="4F85233C" w14:textId="77777777" w:rsidR="00B609C9" w:rsidRDefault="00B609C9" w:rsidP="00543A09">
            <w:pPr>
              <w:spacing w:after="240" w:line="288" w:lineRule="auto"/>
              <w:rPr>
                <w:rFonts w:asciiTheme="minorHAnsi" w:hAnsiTheme="minorHAnsi" w:cs="Arial"/>
                <w:color w:val="0D0D0D" w:themeColor="text1" w:themeTint="F2"/>
              </w:rPr>
            </w:pPr>
            <w:r>
              <w:rPr>
                <w:rFonts w:asciiTheme="minorHAnsi" w:hAnsiTheme="minorHAnsi" w:cs="Arial"/>
                <w:color w:val="0D0D0D" w:themeColor="text1" w:themeTint="F2"/>
              </w:rPr>
              <w:t xml:space="preserve">▫More able PP children challenged to reach higher standard &amp; embed depth of knowledge. </w:t>
            </w:r>
          </w:p>
          <w:p w14:paraId="0A88706C" w14:textId="77777777" w:rsidR="008B4054" w:rsidRDefault="008B4054" w:rsidP="00543A09">
            <w:pPr>
              <w:spacing w:after="240" w:line="288" w:lineRule="auto"/>
              <w:rPr>
                <w:rFonts w:asciiTheme="minorHAnsi" w:hAnsiTheme="minorHAnsi" w:cs="Arial"/>
                <w:color w:val="0D0D0D" w:themeColor="text1" w:themeTint="F2"/>
              </w:rPr>
            </w:pPr>
          </w:p>
          <w:p w14:paraId="4C41B5F7" w14:textId="77777777" w:rsidR="008B4054" w:rsidRDefault="008B4054" w:rsidP="00543A09">
            <w:pPr>
              <w:spacing w:after="240" w:line="288" w:lineRule="auto"/>
              <w:rPr>
                <w:rFonts w:asciiTheme="minorHAnsi" w:hAnsiTheme="minorHAnsi" w:cs="Arial"/>
                <w:color w:val="0D0D0D" w:themeColor="text1" w:themeTint="F2"/>
              </w:rPr>
            </w:pPr>
          </w:p>
          <w:p w14:paraId="4ED06986" w14:textId="77777777" w:rsidR="008B4054" w:rsidRDefault="008B4054" w:rsidP="00543A09">
            <w:pPr>
              <w:spacing w:after="240" w:line="288" w:lineRule="auto"/>
              <w:rPr>
                <w:rFonts w:asciiTheme="minorHAnsi" w:hAnsiTheme="minorHAnsi" w:cs="Arial"/>
                <w:color w:val="0D0D0D" w:themeColor="text1" w:themeTint="F2"/>
              </w:rPr>
            </w:pPr>
          </w:p>
          <w:p w14:paraId="6F4DAA17" w14:textId="77777777" w:rsidR="008B4054" w:rsidRDefault="008B4054" w:rsidP="00543A09">
            <w:pPr>
              <w:spacing w:after="240" w:line="288" w:lineRule="auto"/>
              <w:rPr>
                <w:rFonts w:asciiTheme="minorHAnsi" w:hAnsiTheme="minorHAnsi" w:cs="Arial"/>
                <w:color w:val="0D0D0D" w:themeColor="text1" w:themeTint="F2"/>
              </w:rPr>
            </w:pPr>
          </w:p>
          <w:p w14:paraId="6F060067" w14:textId="77777777" w:rsidR="008B4054" w:rsidRDefault="008B4054" w:rsidP="00543A09">
            <w:pPr>
              <w:spacing w:after="240" w:line="288" w:lineRule="auto"/>
              <w:rPr>
                <w:rFonts w:asciiTheme="minorHAnsi" w:hAnsiTheme="minorHAnsi" w:cs="Arial"/>
                <w:color w:val="0D0D0D" w:themeColor="text1" w:themeTint="F2"/>
              </w:rPr>
            </w:pPr>
          </w:p>
          <w:p w14:paraId="46C2D745" w14:textId="77777777" w:rsidR="008B4054" w:rsidRDefault="008B4054" w:rsidP="00543A09">
            <w:pPr>
              <w:spacing w:after="240" w:line="288" w:lineRule="auto"/>
              <w:rPr>
                <w:rFonts w:asciiTheme="minorHAnsi" w:hAnsiTheme="minorHAnsi" w:cs="Arial"/>
                <w:color w:val="0D0D0D" w:themeColor="text1" w:themeTint="F2"/>
              </w:rPr>
            </w:pPr>
          </w:p>
          <w:p w14:paraId="497375A5" w14:textId="544A704B" w:rsidR="008B4054" w:rsidRPr="002B0C1F" w:rsidRDefault="008B4054" w:rsidP="00543A09">
            <w:pPr>
              <w:spacing w:after="240" w:line="288" w:lineRule="auto"/>
              <w:rPr>
                <w:rFonts w:asciiTheme="minorHAnsi" w:hAnsiTheme="minorHAnsi" w:cs="Arial"/>
                <w:color w:val="0D0D0D" w:themeColor="text1" w:themeTint="F2"/>
              </w:rPr>
            </w:pPr>
          </w:p>
        </w:tc>
        <w:tc>
          <w:tcPr>
            <w:tcW w:w="5274" w:type="dxa"/>
            <w:tcMar>
              <w:top w:w="57" w:type="dxa"/>
              <w:bottom w:w="57" w:type="dxa"/>
            </w:tcMar>
          </w:tcPr>
          <w:p w14:paraId="70CC4458" w14:textId="77777777" w:rsidR="00826329" w:rsidRPr="00826329" w:rsidRDefault="00826329" w:rsidP="00826329">
            <w:pPr>
              <w:spacing w:after="240" w:line="288" w:lineRule="auto"/>
              <w:rPr>
                <w:rFonts w:asciiTheme="minorHAnsi" w:hAnsiTheme="minorHAnsi" w:cs="Arial"/>
                <w:color w:val="0D0D0D" w:themeColor="text1" w:themeTint="F2"/>
              </w:rPr>
            </w:pPr>
            <w:r w:rsidRPr="00826329">
              <w:rPr>
                <w:rFonts w:asciiTheme="minorHAnsi" w:hAnsiTheme="minorHAnsi" w:cs="Arial"/>
                <w:color w:val="0D0D0D" w:themeColor="text1" w:themeTint="F2"/>
              </w:rPr>
              <w:t xml:space="preserve">At end of KS2 </w:t>
            </w:r>
          </w:p>
          <w:p w14:paraId="2CC2AA5C" w14:textId="5332C8FC" w:rsidR="00826329" w:rsidRDefault="0035702F" w:rsidP="00826329">
            <w:pPr>
              <w:spacing w:after="240" w:line="288" w:lineRule="auto"/>
              <w:rPr>
                <w:rFonts w:asciiTheme="minorHAnsi" w:hAnsiTheme="minorHAnsi" w:cs="Arial"/>
                <w:color w:val="0D0D0D" w:themeColor="text1" w:themeTint="F2"/>
              </w:rPr>
            </w:pPr>
            <w:r>
              <w:rPr>
                <w:rFonts w:asciiTheme="minorHAnsi" w:hAnsiTheme="minorHAnsi" w:cs="Arial"/>
                <w:color w:val="0D0D0D" w:themeColor="text1" w:themeTint="F2"/>
              </w:rPr>
              <w:t>78</w:t>
            </w:r>
            <w:r w:rsidR="00826329">
              <w:rPr>
                <w:rFonts w:asciiTheme="minorHAnsi" w:hAnsiTheme="minorHAnsi" w:cs="Arial"/>
                <w:color w:val="0D0D0D" w:themeColor="text1" w:themeTint="F2"/>
              </w:rPr>
              <w:t xml:space="preserve">% </w:t>
            </w:r>
            <w:r w:rsidR="00826329" w:rsidRPr="00826329">
              <w:rPr>
                <w:rFonts w:asciiTheme="minorHAnsi" w:hAnsiTheme="minorHAnsi" w:cs="Arial"/>
                <w:color w:val="0D0D0D" w:themeColor="text1" w:themeTint="F2"/>
              </w:rPr>
              <w:t>of children (</w:t>
            </w:r>
            <w:r>
              <w:rPr>
                <w:rFonts w:asciiTheme="minorHAnsi" w:hAnsiTheme="minorHAnsi" w:cs="Arial"/>
                <w:color w:val="0D0D0D" w:themeColor="text1" w:themeTint="F2"/>
              </w:rPr>
              <w:t>7/9</w:t>
            </w:r>
            <w:r w:rsidR="00826329" w:rsidRPr="00826329">
              <w:rPr>
                <w:rFonts w:asciiTheme="minorHAnsi" w:hAnsiTheme="minorHAnsi" w:cs="Arial"/>
                <w:color w:val="0D0D0D" w:themeColor="text1" w:themeTint="F2"/>
              </w:rPr>
              <w:t xml:space="preserve">) made the expected standard in Reading </w:t>
            </w:r>
          </w:p>
          <w:p w14:paraId="3A8FA627" w14:textId="703C4512" w:rsidR="00826329" w:rsidRDefault="0035702F" w:rsidP="00826329">
            <w:pPr>
              <w:spacing w:after="240" w:line="288" w:lineRule="auto"/>
              <w:rPr>
                <w:rFonts w:asciiTheme="minorHAnsi" w:hAnsiTheme="minorHAnsi" w:cs="Arial"/>
                <w:color w:val="0D0D0D" w:themeColor="text1" w:themeTint="F2"/>
              </w:rPr>
            </w:pPr>
            <w:r>
              <w:rPr>
                <w:rFonts w:asciiTheme="minorHAnsi" w:hAnsiTheme="minorHAnsi" w:cs="Arial"/>
                <w:color w:val="0D0D0D" w:themeColor="text1" w:themeTint="F2"/>
              </w:rPr>
              <w:t>78</w:t>
            </w:r>
            <w:r w:rsidR="00826329">
              <w:rPr>
                <w:rFonts w:asciiTheme="minorHAnsi" w:hAnsiTheme="minorHAnsi" w:cs="Arial"/>
                <w:color w:val="0D0D0D" w:themeColor="text1" w:themeTint="F2"/>
              </w:rPr>
              <w:t>%</w:t>
            </w:r>
            <w:r w:rsidR="00826329" w:rsidRPr="00826329">
              <w:rPr>
                <w:rFonts w:asciiTheme="minorHAnsi" w:hAnsiTheme="minorHAnsi" w:cs="Arial"/>
                <w:color w:val="0D0D0D" w:themeColor="text1" w:themeTint="F2"/>
              </w:rPr>
              <w:t xml:space="preserve"> of children (</w:t>
            </w:r>
            <w:r>
              <w:rPr>
                <w:rFonts w:asciiTheme="minorHAnsi" w:hAnsiTheme="minorHAnsi" w:cs="Arial"/>
                <w:color w:val="0D0D0D" w:themeColor="text1" w:themeTint="F2"/>
              </w:rPr>
              <w:t>7/9</w:t>
            </w:r>
            <w:r w:rsidR="00826329" w:rsidRPr="00826329">
              <w:rPr>
                <w:rFonts w:asciiTheme="minorHAnsi" w:hAnsiTheme="minorHAnsi" w:cs="Arial"/>
                <w:color w:val="0D0D0D" w:themeColor="text1" w:themeTint="F2"/>
              </w:rPr>
              <w:t xml:space="preserve">) made the expected standard in Writing </w:t>
            </w:r>
          </w:p>
          <w:p w14:paraId="6D750C3C" w14:textId="149B5399" w:rsidR="00B609C9" w:rsidRPr="002B0C1F" w:rsidRDefault="0035702F" w:rsidP="00826329">
            <w:pPr>
              <w:spacing w:after="240" w:line="288" w:lineRule="auto"/>
              <w:rPr>
                <w:rFonts w:asciiTheme="minorHAnsi" w:hAnsiTheme="minorHAnsi" w:cs="Arial"/>
                <w:color w:val="0D0D0D" w:themeColor="text1" w:themeTint="F2"/>
              </w:rPr>
            </w:pPr>
            <w:r>
              <w:rPr>
                <w:rFonts w:asciiTheme="minorHAnsi" w:hAnsiTheme="minorHAnsi" w:cs="Arial"/>
                <w:color w:val="0D0D0D" w:themeColor="text1" w:themeTint="F2"/>
              </w:rPr>
              <w:t>89</w:t>
            </w:r>
            <w:r w:rsidR="00826329" w:rsidRPr="00826329">
              <w:rPr>
                <w:rFonts w:asciiTheme="minorHAnsi" w:hAnsiTheme="minorHAnsi" w:cs="Arial"/>
                <w:color w:val="0D0D0D" w:themeColor="text1" w:themeTint="F2"/>
              </w:rPr>
              <w:t>% of children (</w:t>
            </w:r>
            <w:r>
              <w:rPr>
                <w:rFonts w:asciiTheme="minorHAnsi" w:hAnsiTheme="minorHAnsi" w:cs="Arial"/>
                <w:color w:val="0D0D0D" w:themeColor="text1" w:themeTint="F2"/>
              </w:rPr>
              <w:t>8/9</w:t>
            </w:r>
            <w:r w:rsidR="00826329" w:rsidRPr="00826329">
              <w:rPr>
                <w:rFonts w:asciiTheme="minorHAnsi" w:hAnsiTheme="minorHAnsi" w:cs="Arial"/>
                <w:color w:val="0D0D0D" w:themeColor="text1" w:themeTint="F2"/>
              </w:rPr>
              <w:t>) made the expected standard in Maths</w:t>
            </w:r>
          </w:p>
        </w:tc>
        <w:tc>
          <w:tcPr>
            <w:tcW w:w="2097" w:type="dxa"/>
          </w:tcPr>
          <w:p w14:paraId="04F65E60" w14:textId="5583EA51" w:rsidR="00B609C9" w:rsidRPr="002B0C1F" w:rsidRDefault="0035702F" w:rsidP="00543A09">
            <w:pPr>
              <w:spacing w:after="240" w:line="288" w:lineRule="auto"/>
              <w:rPr>
                <w:rFonts w:asciiTheme="minorHAnsi" w:hAnsiTheme="minorHAnsi" w:cs="Arial"/>
                <w:color w:val="0D0D0D" w:themeColor="text1" w:themeTint="F2"/>
              </w:rPr>
            </w:pPr>
            <w:r>
              <w:rPr>
                <w:rFonts w:asciiTheme="minorHAnsi" w:hAnsiTheme="minorHAnsi" w:cs="Arial"/>
                <w:color w:val="0D0D0D" w:themeColor="text1" w:themeTint="F2"/>
              </w:rPr>
              <w:t>£1,000</w:t>
            </w:r>
          </w:p>
        </w:tc>
      </w:tr>
      <w:tr w:rsidR="00B609C9" w:rsidRPr="002B0C1F" w14:paraId="09EA1C96" w14:textId="77777777" w:rsidTr="00A83372">
        <w:trPr>
          <w:trHeight w:hRule="exact" w:val="4553"/>
        </w:trPr>
        <w:tc>
          <w:tcPr>
            <w:tcW w:w="3794" w:type="dxa"/>
            <w:tcMar>
              <w:top w:w="57" w:type="dxa"/>
              <w:bottom w:w="57" w:type="dxa"/>
            </w:tcMar>
          </w:tcPr>
          <w:p w14:paraId="3DC05164" w14:textId="0340A602" w:rsidR="00B609C9" w:rsidRPr="002B0C1F" w:rsidRDefault="00B609C9" w:rsidP="00543A09">
            <w:pPr>
              <w:spacing w:after="240" w:line="288" w:lineRule="auto"/>
              <w:rPr>
                <w:rFonts w:asciiTheme="minorHAnsi" w:hAnsiTheme="minorHAnsi" w:cs="Arial"/>
                <w:color w:val="0D0D0D" w:themeColor="text1" w:themeTint="F2"/>
              </w:rPr>
            </w:pPr>
            <w:r>
              <w:rPr>
                <w:rFonts w:asciiTheme="minorHAnsi" w:hAnsiTheme="minorHAnsi" w:cs="Arial"/>
                <w:color w:val="0D0D0D" w:themeColor="text1" w:themeTint="F2"/>
              </w:rPr>
              <w:lastRenderedPageBreak/>
              <w:t>Attendance of PP pupils more in line with all pupils in school.</w:t>
            </w:r>
          </w:p>
        </w:tc>
        <w:tc>
          <w:tcPr>
            <w:tcW w:w="3827" w:type="dxa"/>
            <w:tcMar>
              <w:top w:w="57" w:type="dxa"/>
              <w:bottom w:w="57" w:type="dxa"/>
            </w:tcMar>
          </w:tcPr>
          <w:p w14:paraId="622D547F" w14:textId="77777777" w:rsidR="00B609C9" w:rsidRDefault="00B609C9" w:rsidP="00543A09">
            <w:pPr>
              <w:spacing w:line="288" w:lineRule="auto"/>
              <w:rPr>
                <w:rFonts w:asciiTheme="minorHAnsi" w:hAnsiTheme="minorHAnsi" w:cs="Arial"/>
                <w:color w:val="0D0D0D" w:themeColor="text1" w:themeTint="F2"/>
              </w:rPr>
            </w:pPr>
            <w:r>
              <w:rPr>
                <w:rFonts w:asciiTheme="minorHAnsi" w:hAnsiTheme="minorHAnsi" w:cs="Arial"/>
                <w:color w:val="0D0D0D" w:themeColor="text1" w:themeTint="F2"/>
              </w:rPr>
              <w:t>▫Support from outside agencies – TAF and LA.</w:t>
            </w:r>
          </w:p>
          <w:p w14:paraId="000F7EB4" w14:textId="77777777" w:rsidR="00B609C9" w:rsidRDefault="00B609C9" w:rsidP="00543A09">
            <w:pPr>
              <w:spacing w:line="288" w:lineRule="auto"/>
              <w:rPr>
                <w:rFonts w:asciiTheme="minorHAnsi" w:hAnsiTheme="minorHAnsi" w:cs="Arial"/>
                <w:color w:val="0D0D0D" w:themeColor="text1" w:themeTint="F2"/>
              </w:rPr>
            </w:pPr>
            <w:r>
              <w:rPr>
                <w:rFonts w:asciiTheme="minorHAnsi" w:hAnsiTheme="minorHAnsi" w:cs="Arial"/>
                <w:color w:val="0D0D0D" w:themeColor="text1" w:themeTint="F2"/>
              </w:rPr>
              <w:t xml:space="preserve">▫Attendance incentive scheme – extra rewards/prizes awarded in assembly on a half termly basis. </w:t>
            </w:r>
          </w:p>
          <w:p w14:paraId="15FF3E13" w14:textId="6D7C60CE" w:rsidR="00B609C9" w:rsidRPr="002B0C1F" w:rsidRDefault="00B609C9" w:rsidP="00543A09">
            <w:pPr>
              <w:spacing w:after="240" w:line="288" w:lineRule="auto"/>
              <w:rPr>
                <w:rFonts w:asciiTheme="minorHAnsi" w:hAnsiTheme="minorHAnsi" w:cs="Arial"/>
                <w:color w:val="0D0D0D" w:themeColor="text1" w:themeTint="F2"/>
              </w:rPr>
            </w:pPr>
            <w:r>
              <w:rPr>
                <w:rFonts w:asciiTheme="minorHAnsi" w:hAnsiTheme="minorHAnsi" w:cs="Arial"/>
                <w:color w:val="0D0D0D" w:themeColor="text1" w:themeTint="F2"/>
              </w:rPr>
              <w:t>▫Phase leaders to check attendance of year groups and raise attendance issues with teachers and parents.</w:t>
            </w:r>
          </w:p>
        </w:tc>
        <w:tc>
          <w:tcPr>
            <w:tcW w:w="5274" w:type="dxa"/>
            <w:tcMar>
              <w:top w:w="57" w:type="dxa"/>
              <w:bottom w:w="57" w:type="dxa"/>
            </w:tcMar>
          </w:tcPr>
          <w:p w14:paraId="7BFD2315" w14:textId="56D260D9" w:rsidR="00B609C9" w:rsidRPr="002B0C1F" w:rsidRDefault="00826329" w:rsidP="00543A09">
            <w:pPr>
              <w:spacing w:after="240" w:line="288" w:lineRule="auto"/>
              <w:rPr>
                <w:rFonts w:asciiTheme="minorHAnsi" w:hAnsiTheme="minorHAnsi" w:cs="Arial"/>
                <w:color w:val="0D0D0D" w:themeColor="text1" w:themeTint="F2"/>
              </w:rPr>
            </w:pPr>
            <w:r w:rsidRPr="00826329">
              <w:rPr>
                <w:rFonts w:asciiTheme="minorHAnsi" w:hAnsiTheme="minorHAnsi" w:cs="Arial"/>
                <w:color w:val="0D0D0D" w:themeColor="text1" w:themeTint="F2"/>
              </w:rPr>
              <w:t xml:space="preserve">Attendance rates showed persistent absence amongst PP children is </w:t>
            </w:r>
            <w:r>
              <w:rPr>
                <w:rFonts w:asciiTheme="minorHAnsi" w:hAnsiTheme="minorHAnsi" w:cs="Arial"/>
                <w:color w:val="0D0D0D" w:themeColor="text1" w:themeTint="F2"/>
              </w:rPr>
              <w:t>falling and in line with all pupils in school</w:t>
            </w:r>
            <w:r w:rsidRPr="00826329">
              <w:rPr>
                <w:rFonts w:asciiTheme="minorHAnsi" w:hAnsiTheme="minorHAnsi" w:cs="Arial"/>
                <w:color w:val="0D0D0D" w:themeColor="text1" w:themeTint="F2"/>
              </w:rPr>
              <w:t>.</w:t>
            </w:r>
          </w:p>
        </w:tc>
        <w:tc>
          <w:tcPr>
            <w:tcW w:w="2097" w:type="dxa"/>
          </w:tcPr>
          <w:p w14:paraId="30CED5BA" w14:textId="77777777" w:rsidR="00B609C9" w:rsidRPr="002B0C1F" w:rsidRDefault="00B609C9" w:rsidP="00543A09">
            <w:pPr>
              <w:spacing w:after="240" w:line="288" w:lineRule="auto"/>
              <w:rPr>
                <w:rFonts w:asciiTheme="minorHAnsi" w:hAnsiTheme="minorHAnsi" w:cs="Arial"/>
                <w:color w:val="0D0D0D" w:themeColor="text1" w:themeTint="F2"/>
              </w:rPr>
            </w:pPr>
          </w:p>
        </w:tc>
      </w:tr>
      <w:tr w:rsidR="00B609C9" w:rsidRPr="002B0C1F" w14:paraId="35AA1121" w14:textId="77777777" w:rsidTr="00A83372">
        <w:trPr>
          <w:trHeight w:hRule="exact" w:val="8146"/>
        </w:trPr>
        <w:tc>
          <w:tcPr>
            <w:tcW w:w="3794" w:type="dxa"/>
            <w:tcMar>
              <w:top w:w="57" w:type="dxa"/>
              <w:bottom w:w="57" w:type="dxa"/>
            </w:tcMar>
          </w:tcPr>
          <w:p w14:paraId="56C448CE" w14:textId="77777777" w:rsidR="00B609C9" w:rsidRPr="008D4E75" w:rsidRDefault="00B609C9" w:rsidP="00543A09">
            <w:pPr>
              <w:spacing w:after="240" w:line="288" w:lineRule="auto"/>
              <w:rPr>
                <w:rFonts w:asciiTheme="minorHAnsi" w:hAnsiTheme="minorHAnsi" w:cs="Arial"/>
                <w:color w:val="0D0D0D" w:themeColor="text1" w:themeTint="F2"/>
              </w:rPr>
            </w:pPr>
            <w:r w:rsidRPr="008D4E75">
              <w:rPr>
                <w:rFonts w:asciiTheme="minorHAnsi" w:hAnsiTheme="minorHAnsi" w:cs="Arial"/>
                <w:color w:val="0D0D0D" w:themeColor="text1" w:themeTint="F2"/>
              </w:rPr>
              <w:lastRenderedPageBreak/>
              <w:t>Create equality of opportunity for PP pupils and improve access to learning.</w:t>
            </w:r>
          </w:p>
          <w:p w14:paraId="3B26C14B" w14:textId="77777777" w:rsidR="00B609C9" w:rsidRPr="008D4E75" w:rsidRDefault="00B609C9" w:rsidP="00543A09">
            <w:pPr>
              <w:spacing w:after="240" w:line="288" w:lineRule="auto"/>
              <w:rPr>
                <w:rFonts w:asciiTheme="minorHAnsi" w:hAnsiTheme="minorHAnsi" w:cs="Arial"/>
                <w:color w:val="0D0D0D" w:themeColor="text1" w:themeTint="F2"/>
              </w:rPr>
            </w:pPr>
          </w:p>
          <w:p w14:paraId="117B94CF" w14:textId="77777777" w:rsidR="00B609C9" w:rsidRPr="008D4E75" w:rsidRDefault="00B609C9" w:rsidP="00543A09">
            <w:pPr>
              <w:spacing w:after="240" w:line="288" w:lineRule="auto"/>
              <w:rPr>
                <w:rFonts w:asciiTheme="minorHAnsi" w:hAnsiTheme="minorHAnsi" w:cs="Arial"/>
                <w:color w:val="0D0D0D" w:themeColor="text1" w:themeTint="F2"/>
              </w:rPr>
            </w:pPr>
          </w:p>
          <w:p w14:paraId="58FD1205" w14:textId="77777777" w:rsidR="00B609C9" w:rsidRPr="008D4E75" w:rsidRDefault="00B609C9" w:rsidP="00543A09">
            <w:pPr>
              <w:spacing w:after="240" w:line="288" w:lineRule="auto"/>
              <w:rPr>
                <w:rFonts w:asciiTheme="minorHAnsi" w:hAnsiTheme="minorHAnsi" w:cs="Arial"/>
                <w:color w:val="0D0D0D" w:themeColor="text1" w:themeTint="F2"/>
              </w:rPr>
            </w:pPr>
          </w:p>
          <w:p w14:paraId="180BA739" w14:textId="77777777" w:rsidR="00B609C9" w:rsidRPr="008D4E75" w:rsidRDefault="00B609C9" w:rsidP="00543A09">
            <w:pPr>
              <w:spacing w:after="240" w:line="288" w:lineRule="auto"/>
              <w:rPr>
                <w:rFonts w:asciiTheme="minorHAnsi" w:hAnsiTheme="minorHAnsi" w:cs="Arial"/>
                <w:color w:val="0D0D0D" w:themeColor="text1" w:themeTint="F2"/>
              </w:rPr>
            </w:pPr>
          </w:p>
          <w:p w14:paraId="2D370456" w14:textId="77777777" w:rsidR="00B609C9" w:rsidRPr="008D4E75" w:rsidRDefault="00B609C9" w:rsidP="00543A09">
            <w:pPr>
              <w:spacing w:after="240" w:line="288" w:lineRule="auto"/>
              <w:rPr>
                <w:rFonts w:asciiTheme="minorHAnsi" w:hAnsiTheme="minorHAnsi" w:cs="Arial"/>
                <w:color w:val="0D0D0D" w:themeColor="text1" w:themeTint="F2"/>
              </w:rPr>
            </w:pPr>
          </w:p>
          <w:p w14:paraId="1F1529A5" w14:textId="6948D425" w:rsidR="00B609C9" w:rsidRDefault="00B609C9" w:rsidP="00543A09">
            <w:pPr>
              <w:spacing w:after="240" w:line="288" w:lineRule="auto"/>
              <w:rPr>
                <w:rFonts w:asciiTheme="minorHAnsi" w:hAnsiTheme="minorHAnsi" w:cs="Arial"/>
                <w:color w:val="0D0D0D" w:themeColor="text1" w:themeTint="F2"/>
              </w:rPr>
            </w:pPr>
          </w:p>
          <w:p w14:paraId="29FF7BF0" w14:textId="494280A0" w:rsidR="00B51BB0" w:rsidRDefault="00B51BB0" w:rsidP="00543A09">
            <w:pPr>
              <w:spacing w:after="240" w:line="288" w:lineRule="auto"/>
              <w:rPr>
                <w:rFonts w:asciiTheme="minorHAnsi" w:hAnsiTheme="minorHAnsi" w:cs="Arial"/>
                <w:color w:val="0D0D0D" w:themeColor="text1" w:themeTint="F2"/>
              </w:rPr>
            </w:pPr>
          </w:p>
          <w:p w14:paraId="174D5D2F" w14:textId="584E21AC" w:rsidR="00B51BB0" w:rsidRDefault="00B51BB0" w:rsidP="00543A09">
            <w:pPr>
              <w:spacing w:after="240" w:line="288" w:lineRule="auto"/>
              <w:rPr>
                <w:rFonts w:asciiTheme="minorHAnsi" w:hAnsiTheme="minorHAnsi" w:cs="Arial"/>
                <w:color w:val="0D0D0D" w:themeColor="text1" w:themeTint="F2"/>
              </w:rPr>
            </w:pPr>
          </w:p>
          <w:p w14:paraId="486EB035" w14:textId="77777777" w:rsidR="008B4054" w:rsidRDefault="008B4054" w:rsidP="00543A09">
            <w:pPr>
              <w:spacing w:after="240" w:line="288" w:lineRule="auto"/>
              <w:rPr>
                <w:rFonts w:asciiTheme="minorHAnsi" w:hAnsiTheme="minorHAnsi" w:cs="Arial"/>
                <w:color w:val="0D0D0D" w:themeColor="text1" w:themeTint="F2"/>
              </w:rPr>
            </w:pPr>
          </w:p>
          <w:p w14:paraId="1AE7280B" w14:textId="7EB2DBD3" w:rsidR="00B51BB0" w:rsidRDefault="00B51BB0" w:rsidP="00543A09">
            <w:pPr>
              <w:spacing w:after="240" w:line="288" w:lineRule="auto"/>
              <w:rPr>
                <w:rFonts w:asciiTheme="minorHAnsi" w:hAnsiTheme="minorHAnsi" w:cs="Arial"/>
                <w:color w:val="0D0D0D" w:themeColor="text1" w:themeTint="F2"/>
              </w:rPr>
            </w:pPr>
          </w:p>
          <w:p w14:paraId="2EA81701" w14:textId="77777777" w:rsidR="00A83372" w:rsidRDefault="00A83372" w:rsidP="00543A09">
            <w:pPr>
              <w:spacing w:after="240" w:line="288" w:lineRule="auto"/>
              <w:rPr>
                <w:rFonts w:asciiTheme="minorHAnsi" w:hAnsiTheme="minorHAnsi" w:cs="Arial"/>
                <w:color w:val="0D0D0D" w:themeColor="text1" w:themeTint="F2"/>
              </w:rPr>
            </w:pPr>
          </w:p>
          <w:p w14:paraId="73AB97E4" w14:textId="6C087115" w:rsidR="00B609C9" w:rsidRPr="008D4E75" w:rsidRDefault="00B609C9" w:rsidP="00543A09">
            <w:pPr>
              <w:spacing w:after="240" w:line="288" w:lineRule="auto"/>
              <w:rPr>
                <w:rFonts w:asciiTheme="minorHAnsi" w:hAnsiTheme="minorHAnsi" w:cs="Arial"/>
                <w:color w:val="0D0D0D" w:themeColor="text1" w:themeTint="F2"/>
              </w:rPr>
            </w:pPr>
            <w:r w:rsidRPr="008D4E75">
              <w:rPr>
                <w:rFonts w:asciiTheme="minorHAnsi" w:hAnsiTheme="minorHAnsi" w:cs="Arial"/>
                <w:color w:val="0D0D0D" w:themeColor="text1" w:themeTint="F2"/>
              </w:rPr>
              <w:t>Meet individual learning needs by identifying and addressing each child’s interests.</w:t>
            </w:r>
          </w:p>
          <w:p w14:paraId="75575C10" w14:textId="6031DB01" w:rsidR="00B609C9" w:rsidRPr="008D4E75" w:rsidRDefault="00B609C9" w:rsidP="00543A09">
            <w:pPr>
              <w:spacing w:after="240" w:line="288" w:lineRule="auto"/>
              <w:rPr>
                <w:rFonts w:asciiTheme="minorHAnsi" w:hAnsiTheme="minorHAnsi" w:cs="Arial"/>
                <w:color w:val="0D0D0D" w:themeColor="text1" w:themeTint="F2"/>
              </w:rPr>
            </w:pPr>
          </w:p>
        </w:tc>
        <w:tc>
          <w:tcPr>
            <w:tcW w:w="3827" w:type="dxa"/>
            <w:tcMar>
              <w:top w:w="57" w:type="dxa"/>
              <w:bottom w:w="57" w:type="dxa"/>
            </w:tcMar>
          </w:tcPr>
          <w:p w14:paraId="0FD4643C" w14:textId="2C478AE6" w:rsidR="00B609C9" w:rsidRDefault="00B609C9" w:rsidP="00543A09">
            <w:pPr>
              <w:spacing w:line="288" w:lineRule="auto"/>
              <w:rPr>
                <w:rFonts w:asciiTheme="minorHAnsi" w:hAnsiTheme="minorHAnsi" w:cs="Arial"/>
                <w:color w:val="0D0D0D" w:themeColor="text1" w:themeTint="F2"/>
              </w:rPr>
            </w:pPr>
            <w:r w:rsidRPr="008D4E75">
              <w:rPr>
                <w:rFonts w:asciiTheme="minorHAnsi" w:hAnsiTheme="minorHAnsi" w:cs="Arial"/>
                <w:color w:val="0D0D0D" w:themeColor="text1" w:themeTint="F2"/>
              </w:rPr>
              <w:t>▫Provide a range of cultural experiences for the children, such as theatre, museums, galleries, restaurants, Y6 residential. (Subsidise for PP children)</w:t>
            </w:r>
          </w:p>
          <w:p w14:paraId="4FA85EB6" w14:textId="09465F10" w:rsidR="00826329" w:rsidRDefault="00826329" w:rsidP="00543A09">
            <w:pPr>
              <w:spacing w:line="288" w:lineRule="auto"/>
              <w:rPr>
                <w:rFonts w:asciiTheme="minorHAnsi" w:hAnsiTheme="minorHAnsi" w:cs="Arial"/>
                <w:color w:val="0D0D0D" w:themeColor="text1" w:themeTint="F2"/>
              </w:rPr>
            </w:pPr>
          </w:p>
          <w:p w14:paraId="6BB98E59" w14:textId="4896EC9C" w:rsidR="00826329" w:rsidRDefault="00826329" w:rsidP="00543A09">
            <w:pPr>
              <w:spacing w:line="288" w:lineRule="auto"/>
              <w:rPr>
                <w:rFonts w:asciiTheme="minorHAnsi" w:hAnsiTheme="minorHAnsi" w:cs="Arial"/>
                <w:color w:val="0D0D0D" w:themeColor="text1" w:themeTint="F2"/>
              </w:rPr>
            </w:pPr>
          </w:p>
          <w:p w14:paraId="0E22327B" w14:textId="216B7ED2" w:rsidR="00826329" w:rsidRDefault="00826329" w:rsidP="00543A09">
            <w:pPr>
              <w:spacing w:line="288" w:lineRule="auto"/>
              <w:rPr>
                <w:rFonts w:asciiTheme="minorHAnsi" w:hAnsiTheme="minorHAnsi" w:cs="Arial"/>
                <w:color w:val="0D0D0D" w:themeColor="text1" w:themeTint="F2"/>
              </w:rPr>
            </w:pPr>
          </w:p>
          <w:p w14:paraId="33ECEFD1" w14:textId="51C0D9F2" w:rsidR="00A83372" w:rsidRDefault="00A83372" w:rsidP="00543A09">
            <w:pPr>
              <w:spacing w:line="288" w:lineRule="auto"/>
              <w:rPr>
                <w:rFonts w:asciiTheme="minorHAnsi" w:hAnsiTheme="minorHAnsi" w:cs="Arial"/>
                <w:color w:val="0D0D0D" w:themeColor="text1" w:themeTint="F2"/>
              </w:rPr>
            </w:pPr>
          </w:p>
          <w:p w14:paraId="6E75FD04" w14:textId="77777777" w:rsidR="00A83372" w:rsidRDefault="00A83372" w:rsidP="00543A09">
            <w:pPr>
              <w:spacing w:line="288" w:lineRule="auto"/>
              <w:rPr>
                <w:rFonts w:asciiTheme="minorHAnsi" w:hAnsiTheme="minorHAnsi" w:cs="Arial"/>
                <w:color w:val="0D0D0D" w:themeColor="text1" w:themeTint="F2"/>
              </w:rPr>
            </w:pPr>
          </w:p>
          <w:p w14:paraId="0390F064" w14:textId="77777777" w:rsidR="00826329" w:rsidRDefault="00826329" w:rsidP="00543A09">
            <w:pPr>
              <w:spacing w:line="288" w:lineRule="auto"/>
              <w:rPr>
                <w:rFonts w:asciiTheme="minorHAnsi" w:hAnsiTheme="minorHAnsi" w:cs="Arial"/>
                <w:color w:val="0D0D0D" w:themeColor="text1" w:themeTint="F2"/>
              </w:rPr>
            </w:pPr>
          </w:p>
          <w:p w14:paraId="6216142E" w14:textId="50F760EA" w:rsidR="00B609C9" w:rsidRDefault="00B609C9" w:rsidP="00543A09">
            <w:pPr>
              <w:spacing w:line="288" w:lineRule="auto"/>
              <w:rPr>
                <w:rFonts w:asciiTheme="minorHAnsi" w:hAnsiTheme="minorHAnsi" w:cs="Arial"/>
                <w:color w:val="0D0D0D" w:themeColor="text1" w:themeTint="F2"/>
              </w:rPr>
            </w:pPr>
            <w:r w:rsidRPr="008D4E75">
              <w:rPr>
                <w:rFonts w:asciiTheme="minorHAnsi" w:hAnsiTheme="minorHAnsi" w:cs="Arial"/>
                <w:color w:val="0D0D0D" w:themeColor="text1" w:themeTint="F2"/>
              </w:rPr>
              <w:t xml:space="preserve">▫Relax </w:t>
            </w:r>
            <w:r w:rsidR="00D557A0" w:rsidRPr="008D4E75">
              <w:rPr>
                <w:rFonts w:asciiTheme="minorHAnsi" w:hAnsiTheme="minorHAnsi" w:cs="Arial"/>
                <w:color w:val="0D0D0D" w:themeColor="text1" w:themeTint="F2"/>
              </w:rPr>
              <w:t>kid’s</w:t>
            </w:r>
            <w:r w:rsidRPr="008D4E75">
              <w:rPr>
                <w:rFonts w:asciiTheme="minorHAnsi" w:hAnsiTheme="minorHAnsi" w:cs="Arial"/>
                <w:color w:val="0D0D0D" w:themeColor="text1" w:themeTint="F2"/>
              </w:rPr>
              <w:t xml:space="preserve"> sessions for children across the school. To support Mental health - to reduce anxiety and develop a more positive image of themselves. </w:t>
            </w:r>
          </w:p>
          <w:p w14:paraId="3D4DCEBE" w14:textId="77777777" w:rsidR="00826329" w:rsidRPr="008D4E75" w:rsidRDefault="00826329" w:rsidP="00543A09">
            <w:pPr>
              <w:spacing w:line="288" w:lineRule="auto"/>
              <w:rPr>
                <w:rFonts w:asciiTheme="minorHAnsi" w:hAnsiTheme="minorHAnsi" w:cs="Arial"/>
                <w:color w:val="0D0D0D" w:themeColor="text1" w:themeTint="F2"/>
              </w:rPr>
            </w:pPr>
          </w:p>
          <w:p w14:paraId="003FDB63" w14:textId="77777777" w:rsidR="00B609C9" w:rsidRPr="008D4E75" w:rsidRDefault="00B609C9" w:rsidP="00543A09">
            <w:pPr>
              <w:spacing w:after="240" w:line="288" w:lineRule="auto"/>
              <w:rPr>
                <w:rFonts w:asciiTheme="minorHAnsi" w:hAnsiTheme="minorHAnsi" w:cs="Arial"/>
                <w:color w:val="0D0D0D" w:themeColor="text1" w:themeTint="F2"/>
              </w:rPr>
            </w:pPr>
            <w:r w:rsidRPr="008D4E75">
              <w:rPr>
                <w:rFonts w:asciiTheme="minorHAnsi" w:hAnsiTheme="minorHAnsi" w:cs="Arial"/>
                <w:color w:val="0D0D0D" w:themeColor="text1" w:themeTint="F2"/>
              </w:rPr>
              <w:t>▫Lunchtime nurture group. Focus on good manners, listening and responding appropriately and turn taking.</w:t>
            </w:r>
          </w:p>
          <w:p w14:paraId="28886DB6" w14:textId="06DA307A" w:rsidR="00B609C9" w:rsidRDefault="00B609C9" w:rsidP="00543A09">
            <w:pPr>
              <w:spacing w:after="240" w:line="288" w:lineRule="auto"/>
              <w:rPr>
                <w:rFonts w:asciiTheme="minorHAnsi" w:hAnsiTheme="minorHAnsi" w:cs="Arial"/>
                <w:color w:val="0D0D0D" w:themeColor="text1" w:themeTint="F2"/>
              </w:rPr>
            </w:pPr>
          </w:p>
          <w:p w14:paraId="6C11967D" w14:textId="77777777" w:rsidR="008B4054" w:rsidRDefault="008B4054" w:rsidP="00543A09">
            <w:pPr>
              <w:spacing w:after="240" w:line="288" w:lineRule="auto"/>
              <w:rPr>
                <w:rFonts w:asciiTheme="minorHAnsi" w:hAnsiTheme="minorHAnsi" w:cs="Arial"/>
                <w:color w:val="0D0D0D" w:themeColor="text1" w:themeTint="F2"/>
              </w:rPr>
            </w:pPr>
          </w:p>
          <w:p w14:paraId="5D6CEF1C" w14:textId="09EB7231" w:rsidR="00B609C9" w:rsidRDefault="00B609C9" w:rsidP="00543A09">
            <w:pPr>
              <w:spacing w:after="240" w:line="288" w:lineRule="auto"/>
              <w:rPr>
                <w:rFonts w:asciiTheme="minorHAnsi" w:hAnsiTheme="minorHAnsi" w:cs="Arial"/>
                <w:color w:val="0D0D0D" w:themeColor="text1" w:themeTint="F2"/>
              </w:rPr>
            </w:pPr>
            <w:r w:rsidRPr="008D4E75">
              <w:rPr>
                <w:rFonts w:asciiTheme="minorHAnsi" w:hAnsiTheme="minorHAnsi" w:cs="Arial"/>
                <w:color w:val="0D0D0D" w:themeColor="text1" w:themeTint="F2"/>
              </w:rPr>
              <w:t>Chess club – to develop logical thinking. Forest school – to develop confidence, self- belief, learning capacity, communication skills and emotional well – being.</w:t>
            </w:r>
          </w:p>
          <w:p w14:paraId="3373CD25" w14:textId="5F3A5734" w:rsidR="00B609C9" w:rsidRPr="002B0C1F" w:rsidRDefault="00B609C9" w:rsidP="00543A09">
            <w:pPr>
              <w:spacing w:after="240" w:line="288" w:lineRule="auto"/>
              <w:rPr>
                <w:rFonts w:asciiTheme="minorHAnsi" w:hAnsiTheme="minorHAnsi" w:cs="Arial"/>
                <w:color w:val="0D0D0D" w:themeColor="text1" w:themeTint="F2"/>
              </w:rPr>
            </w:pPr>
          </w:p>
        </w:tc>
        <w:tc>
          <w:tcPr>
            <w:tcW w:w="5274" w:type="dxa"/>
            <w:tcMar>
              <w:top w:w="57" w:type="dxa"/>
              <w:bottom w:w="57" w:type="dxa"/>
            </w:tcMar>
          </w:tcPr>
          <w:p w14:paraId="145F8E36" w14:textId="018743D4" w:rsidR="00826329" w:rsidRDefault="00826329" w:rsidP="00826329">
            <w:pPr>
              <w:spacing w:after="240" w:line="288" w:lineRule="auto"/>
              <w:rPr>
                <w:rFonts w:asciiTheme="minorHAnsi" w:hAnsiTheme="minorHAnsi" w:cs="Arial"/>
                <w:color w:val="0D0D0D" w:themeColor="text1" w:themeTint="F2"/>
              </w:rPr>
            </w:pPr>
            <w:r w:rsidRPr="00826329">
              <w:rPr>
                <w:rFonts w:asciiTheme="minorHAnsi" w:hAnsiTheme="minorHAnsi" w:cs="Arial"/>
                <w:color w:val="0D0D0D" w:themeColor="text1" w:themeTint="F2"/>
              </w:rPr>
              <w:t xml:space="preserve">Children were engaged and motivated to learn. Performance of PP children continues to improve. </w:t>
            </w:r>
            <w:r>
              <w:rPr>
                <w:rFonts w:asciiTheme="minorHAnsi" w:hAnsiTheme="minorHAnsi" w:cs="Arial"/>
                <w:color w:val="0D0D0D" w:themeColor="text1" w:themeTint="F2"/>
              </w:rPr>
              <w:t>Homework projects linked to topic work has inspired some PP children to take part.</w:t>
            </w:r>
            <w:r w:rsidRPr="00826329">
              <w:rPr>
                <w:rFonts w:asciiTheme="minorHAnsi" w:hAnsiTheme="minorHAnsi" w:cs="Arial"/>
                <w:color w:val="0D0D0D" w:themeColor="text1" w:themeTint="F2"/>
              </w:rPr>
              <w:t xml:space="preserve"> Residential has provided the children with memorable life experiences which has resulted in them being ‘ready’ for life beyond the school. Music</w:t>
            </w:r>
            <w:r>
              <w:rPr>
                <w:rFonts w:asciiTheme="minorHAnsi" w:hAnsiTheme="minorHAnsi" w:cs="Arial"/>
                <w:color w:val="0D0D0D" w:themeColor="text1" w:themeTint="F2"/>
              </w:rPr>
              <w:t xml:space="preserve"> (drumming and ukulele)</w:t>
            </w:r>
            <w:r w:rsidRPr="00826329">
              <w:rPr>
                <w:rFonts w:asciiTheme="minorHAnsi" w:hAnsiTheme="minorHAnsi" w:cs="Arial"/>
                <w:color w:val="0D0D0D" w:themeColor="text1" w:themeTint="F2"/>
              </w:rPr>
              <w:t xml:space="preserve"> provision has provided children with a broad and balanced curriculum</w:t>
            </w:r>
          </w:p>
          <w:p w14:paraId="2835AC1F" w14:textId="77777777" w:rsidR="00A83372" w:rsidRDefault="00A83372" w:rsidP="00826329">
            <w:pPr>
              <w:spacing w:after="240" w:line="288" w:lineRule="auto"/>
              <w:rPr>
                <w:rFonts w:asciiTheme="minorHAnsi" w:hAnsiTheme="minorHAnsi" w:cs="Arial"/>
                <w:color w:val="0D0D0D" w:themeColor="text1" w:themeTint="F2"/>
              </w:rPr>
            </w:pPr>
          </w:p>
          <w:p w14:paraId="764D2D85" w14:textId="157AEF29" w:rsidR="00826329" w:rsidRPr="00826329" w:rsidRDefault="00826329" w:rsidP="00826329">
            <w:pPr>
              <w:spacing w:after="240" w:line="288" w:lineRule="auto"/>
              <w:rPr>
                <w:rFonts w:asciiTheme="minorHAnsi" w:hAnsiTheme="minorHAnsi" w:cs="Arial"/>
                <w:color w:val="0D0D0D" w:themeColor="text1" w:themeTint="F2"/>
              </w:rPr>
            </w:pPr>
            <w:r>
              <w:rPr>
                <w:rFonts w:asciiTheme="minorHAnsi" w:hAnsiTheme="minorHAnsi" w:cs="Arial"/>
                <w:color w:val="0D0D0D" w:themeColor="text1" w:themeTint="F2"/>
              </w:rPr>
              <w:t xml:space="preserve">Relax </w:t>
            </w:r>
            <w:r w:rsidR="000958E7">
              <w:rPr>
                <w:rFonts w:asciiTheme="minorHAnsi" w:hAnsiTheme="minorHAnsi" w:cs="Arial"/>
                <w:color w:val="0D0D0D" w:themeColor="text1" w:themeTint="F2"/>
              </w:rPr>
              <w:t>kids’</w:t>
            </w:r>
            <w:r>
              <w:rPr>
                <w:rFonts w:asciiTheme="minorHAnsi" w:hAnsiTheme="minorHAnsi" w:cs="Arial"/>
                <w:color w:val="0D0D0D" w:themeColor="text1" w:themeTint="F2"/>
              </w:rPr>
              <w:t xml:space="preserve"> sessions proved to be very beneficial to the children involved.</w:t>
            </w:r>
          </w:p>
          <w:p w14:paraId="3D96EB21" w14:textId="77777777" w:rsidR="00826329" w:rsidRPr="00826329" w:rsidRDefault="00826329" w:rsidP="00826329">
            <w:pPr>
              <w:spacing w:after="240" w:line="288" w:lineRule="auto"/>
              <w:rPr>
                <w:rFonts w:asciiTheme="minorHAnsi" w:hAnsiTheme="minorHAnsi" w:cs="Arial"/>
                <w:color w:val="0D0D0D" w:themeColor="text1" w:themeTint="F2"/>
              </w:rPr>
            </w:pPr>
            <w:r w:rsidRPr="00826329">
              <w:rPr>
                <w:rFonts w:asciiTheme="minorHAnsi" w:hAnsiTheme="minorHAnsi" w:cs="Arial"/>
                <w:color w:val="0D0D0D" w:themeColor="text1" w:themeTint="F2"/>
              </w:rPr>
              <w:t xml:space="preserve"> </w:t>
            </w:r>
          </w:p>
          <w:p w14:paraId="2F390A68" w14:textId="3659B302" w:rsidR="00826329" w:rsidRDefault="00B51BB0" w:rsidP="00826329">
            <w:pPr>
              <w:spacing w:after="240" w:line="288" w:lineRule="auto"/>
              <w:rPr>
                <w:rFonts w:asciiTheme="minorHAnsi" w:hAnsiTheme="minorHAnsi" w:cs="Arial"/>
                <w:color w:val="0D0D0D" w:themeColor="text1" w:themeTint="F2"/>
              </w:rPr>
            </w:pPr>
            <w:r>
              <w:rPr>
                <w:rFonts w:asciiTheme="minorHAnsi" w:hAnsiTheme="minorHAnsi" w:cs="Arial"/>
                <w:color w:val="0D0D0D" w:themeColor="text1" w:themeTint="F2"/>
              </w:rPr>
              <w:t>F</w:t>
            </w:r>
            <w:r w:rsidRPr="00B51BB0">
              <w:rPr>
                <w:rFonts w:asciiTheme="minorHAnsi" w:hAnsiTheme="minorHAnsi" w:cs="Arial"/>
                <w:color w:val="0D0D0D" w:themeColor="text1" w:themeTint="F2"/>
              </w:rPr>
              <w:t xml:space="preserve">eedback from our PP children who have accessed our </w:t>
            </w:r>
            <w:r>
              <w:rPr>
                <w:rFonts w:asciiTheme="minorHAnsi" w:hAnsiTheme="minorHAnsi" w:cs="Arial"/>
                <w:color w:val="0D0D0D" w:themeColor="text1" w:themeTint="F2"/>
              </w:rPr>
              <w:t>Lunchtime N</w:t>
            </w:r>
            <w:r w:rsidRPr="00B51BB0">
              <w:rPr>
                <w:rFonts w:asciiTheme="minorHAnsi" w:hAnsiTheme="minorHAnsi" w:cs="Arial"/>
                <w:color w:val="0D0D0D" w:themeColor="text1" w:themeTint="F2"/>
              </w:rPr>
              <w:t xml:space="preserve">urture </w:t>
            </w:r>
            <w:r>
              <w:rPr>
                <w:rFonts w:asciiTheme="minorHAnsi" w:hAnsiTheme="minorHAnsi" w:cs="Arial"/>
                <w:color w:val="0D0D0D" w:themeColor="text1" w:themeTint="F2"/>
              </w:rPr>
              <w:t>group</w:t>
            </w:r>
            <w:r w:rsidRPr="00B51BB0">
              <w:rPr>
                <w:rFonts w:asciiTheme="minorHAnsi" w:hAnsiTheme="minorHAnsi" w:cs="Arial"/>
                <w:color w:val="0D0D0D" w:themeColor="text1" w:themeTint="F2"/>
              </w:rPr>
              <w:t xml:space="preserve"> feel they are given strategies to support them in social and learning situations.</w:t>
            </w:r>
          </w:p>
          <w:p w14:paraId="4BA03A2A" w14:textId="6163EE7B" w:rsidR="00B51BB0" w:rsidRPr="00826329" w:rsidRDefault="008B4054" w:rsidP="00826329">
            <w:pPr>
              <w:spacing w:after="240" w:line="288" w:lineRule="auto"/>
              <w:rPr>
                <w:rFonts w:asciiTheme="minorHAnsi" w:hAnsiTheme="minorHAnsi" w:cs="Arial"/>
                <w:color w:val="0D0D0D" w:themeColor="text1" w:themeTint="F2"/>
              </w:rPr>
            </w:pPr>
            <w:r>
              <w:rPr>
                <w:rFonts w:asciiTheme="minorHAnsi" w:hAnsiTheme="minorHAnsi" w:cs="Arial"/>
                <w:color w:val="0D0D0D" w:themeColor="text1" w:themeTint="F2"/>
              </w:rPr>
              <w:t>Morning breakfast phonics group has proved beneficial. Targeting healthy eating, basic skills and attendance.</w:t>
            </w:r>
          </w:p>
          <w:p w14:paraId="633CF176" w14:textId="77777777" w:rsidR="00B51BB0" w:rsidRDefault="00B51BB0" w:rsidP="00826329">
            <w:pPr>
              <w:spacing w:after="240" w:line="288" w:lineRule="auto"/>
              <w:rPr>
                <w:rFonts w:asciiTheme="minorHAnsi" w:hAnsiTheme="minorHAnsi" w:cs="Arial"/>
                <w:color w:val="0D0D0D" w:themeColor="text1" w:themeTint="F2"/>
              </w:rPr>
            </w:pPr>
          </w:p>
          <w:p w14:paraId="7C91DDAD" w14:textId="70AACB0F" w:rsidR="00B609C9" w:rsidRPr="002B0C1F" w:rsidRDefault="00B51BB0" w:rsidP="00826329">
            <w:pPr>
              <w:spacing w:after="240" w:line="288" w:lineRule="auto"/>
              <w:rPr>
                <w:rFonts w:asciiTheme="minorHAnsi" w:hAnsiTheme="minorHAnsi" w:cs="Arial"/>
                <w:color w:val="0D0D0D" w:themeColor="text1" w:themeTint="F2"/>
              </w:rPr>
            </w:pPr>
            <w:r>
              <w:rPr>
                <w:rFonts w:asciiTheme="minorHAnsi" w:hAnsiTheme="minorHAnsi" w:cs="Arial"/>
                <w:color w:val="0D0D0D" w:themeColor="text1" w:themeTint="F2"/>
              </w:rPr>
              <w:t>Resources were used to enrich the children’s learning.</w:t>
            </w:r>
          </w:p>
        </w:tc>
        <w:tc>
          <w:tcPr>
            <w:tcW w:w="2097" w:type="dxa"/>
          </w:tcPr>
          <w:p w14:paraId="3A8B1BBA" w14:textId="628669F3" w:rsidR="008B4054" w:rsidRDefault="008B4054" w:rsidP="00543A09">
            <w:pPr>
              <w:spacing w:after="240" w:line="288" w:lineRule="auto"/>
              <w:rPr>
                <w:rFonts w:asciiTheme="minorHAnsi" w:hAnsiTheme="minorHAnsi" w:cs="Arial"/>
                <w:color w:val="0D0D0D" w:themeColor="text1" w:themeTint="F2"/>
              </w:rPr>
            </w:pPr>
            <w:r>
              <w:rPr>
                <w:rFonts w:asciiTheme="minorHAnsi" w:hAnsiTheme="minorHAnsi" w:cs="Arial"/>
                <w:color w:val="0D0D0D" w:themeColor="text1" w:themeTint="F2"/>
              </w:rPr>
              <w:t>£</w:t>
            </w:r>
            <w:r w:rsidR="00A67FAF">
              <w:rPr>
                <w:rFonts w:asciiTheme="minorHAnsi" w:hAnsiTheme="minorHAnsi" w:cs="Arial"/>
                <w:color w:val="0D0D0D" w:themeColor="text1" w:themeTint="F2"/>
              </w:rPr>
              <w:t>1,230</w:t>
            </w:r>
          </w:p>
          <w:p w14:paraId="53B013E0" w14:textId="77777777" w:rsidR="008B4054" w:rsidRDefault="008B4054" w:rsidP="00543A09">
            <w:pPr>
              <w:spacing w:after="240" w:line="288" w:lineRule="auto"/>
              <w:rPr>
                <w:rFonts w:asciiTheme="minorHAnsi" w:hAnsiTheme="minorHAnsi" w:cs="Arial"/>
                <w:color w:val="0D0D0D" w:themeColor="text1" w:themeTint="F2"/>
              </w:rPr>
            </w:pPr>
          </w:p>
          <w:p w14:paraId="4144A0B1" w14:textId="77777777" w:rsidR="008B4054" w:rsidRDefault="008B4054" w:rsidP="00543A09">
            <w:pPr>
              <w:spacing w:after="240" w:line="288" w:lineRule="auto"/>
              <w:rPr>
                <w:rFonts w:asciiTheme="minorHAnsi" w:hAnsiTheme="minorHAnsi" w:cs="Arial"/>
                <w:color w:val="0D0D0D" w:themeColor="text1" w:themeTint="F2"/>
              </w:rPr>
            </w:pPr>
          </w:p>
          <w:p w14:paraId="1B1A45D0" w14:textId="77777777" w:rsidR="008B4054" w:rsidRDefault="008B4054" w:rsidP="00543A09">
            <w:pPr>
              <w:spacing w:after="240" w:line="288" w:lineRule="auto"/>
              <w:rPr>
                <w:rFonts w:asciiTheme="minorHAnsi" w:hAnsiTheme="minorHAnsi" w:cs="Arial"/>
                <w:color w:val="0D0D0D" w:themeColor="text1" w:themeTint="F2"/>
              </w:rPr>
            </w:pPr>
          </w:p>
          <w:p w14:paraId="242DF25F" w14:textId="77777777" w:rsidR="008B4054" w:rsidRDefault="008B4054" w:rsidP="00543A09">
            <w:pPr>
              <w:spacing w:after="240" w:line="288" w:lineRule="auto"/>
              <w:rPr>
                <w:rFonts w:asciiTheme="minorHAnsi" w:hAnsiTheme="minorHAnsi" w:cs="Arial"/>
                <w:color w:val="0D0D0D" w:themeColor="text1" w:themeTint="F2"/>
              </w:rPr>
            </w:pPr>
          </w:p>
          <w:p w14:paraId="5524313A" w14:textId="77777777" w:rsidR="008B4054" w:rsidRDefault="008B4054" w:rsidP="00543A09">
            <w:pPr>
              <w:spacing w:after="240" w:line="288" w:lineRule="auto"/>
              <w:rPr>
                <w:rFonts w:asciiTheme="minorHAnsi" w:hAnsiTheme="minorHAnsi" w:cs="Arial"/>
                <w:color w:val="0D0D0D" w:themeColor="text1" w:themeTint="F2"/>
              </w:rPr>
            </w:pPr>
          </w:p>
          <w:p w14:paraId="481B9487" w14:textId="77777777" w:rsidR="008B4054" w:rsidRDefault="008B4054" w:rsidP="00543A09">
            <w:pPr>
              <w:spacing w:after="240" w:line="288" w:lineRule="auto"/>
              <w:rPr>
                <w:rFonts w:asciiTheme="minorHAnsi" w:hAnsiTheme="minorHAnsi" w:cs="Arial"/>
                <w:color w:val="0D0D0D" w:themeColor="text1" w:themeTint="F2"/>
              </w:rPr>
            </w:pPr>
          </w:p>
          <w:p w14:paraId="459D41B2" w14:textId="77777777" w:rsidR="008B4054" w:rsidRDefault="008B4054" w:rsidP="00543A09">
            <w:pPr>
              <w:spacing w:after="240" w:line="288" w:lineRule="auto"/>
              <w:rPr>
                <w:rFonts w:asciiTheme="minorHAnsi" w:hAnsiTheme="minorHAnsi" w:cs="Arial"/>
                <w:color w:val="0D0D0D" w:themeColor="text1" w:themeTint="F2"/>
              </w:rPr>
            </w:pPr>
          </w:p>
          <w:p w14:paraId="167BC18C" w14:textId="77777777" w:rsidR="008B4054" w:rsidRDefault="008B4054" w:rsidP="00543A09">
            <w:pPr>
              <w:spacing w:after="240" w:line="288" w:lineRule="auto"/>
              <w:rPr>
                <w:rFonts w:asciiTheme="minorHAnsi" w:hAnsiTheme="minorHAnsi" w:cs="Arial"/>
                <w:color w:val="0D0D0D" w:themeColor="text1" w:themeTint="F2"/>
              </w:rPr>
            </w:pPr>
          </w:p>
          <w:p w14:paraId="7BA5FED5" w14:textId="77777777" w:rsidR="008B4054" w:rsidRDefault="008B4054" w:rsidP="00543A09">
            <w:pPr>
              <w:spacing w:after="240" w:line="288" w:lineRule="auto"/>
              <w:rPr>
                <w:rFonts w:asciiTheme="minorHAnsi" w:hAnsiTheme="minorHAnsi" w:cs="Arial"/>
                <w:color w:val="0D0D0D" w:themeColor="text1" w:themeTint="F2"/>
              </w:rPr>
            </w:pPr>
          </w:p>
          <w:p w14:paraId="46317555" w14:textId="28CD8DE7" w:rsidR="008B4054" w:rsidRDefault="008B4054" w:rsidP="00543A09">
            <w:pPr>
              <w:spacing w:after="240" w:line="288" w:lineRule="auto"/>
              <w:rPr>
                <w:rFonts w:asciiTheme="minorHAnsi" w:hAnsiTheme="minorHAnsi" w:cs="Arial"/>
                <w:color w:val="0D0D0D" w:themeColor="text1" w:themeTint="F2"/>
              </w:rPr>
            </w:pPr>
          </w:p>
          <w:p w14:paraId="70C99B40" w14:textId="23B9013D" w:rsidR="008C7819" w:rsidRDefault="008C7819" w:rsidP="00543A09">
            <w:pPr>
              <w:spacing w:after="240" w:line="288" w:lineRule="auto"/>
              <w:rPr>
                <w:rFonts w:asciiTheme="minorHAnsi" w:hAnsiTheme="minorHAnsi" w:cs="Arial"/>
                <w:color w:val="0D0D0D" w:themeColor="text1" w:themeTint="F2"/>
              </w:rPr>
            </w:pPr>
          </w:p>
          <w:p w14:paraId="0B71529C" w14:textId="77777777" w:rsidR="00A83372" w:rsidRDefault="00A83372" w:rsidP="00543A09">
            <w:pPr>
              <w:spacing w:after="240" w:line="288" w:lineRule="auto"/>
              <w:rPr>
                <w:rFonts w:asciiTheme="minorHAnsi" w:hAnsiTheme="minorHAnsi" w:cs="Arial"/>
                <w:color w:val="0D0D0D" w:themeColor="text1" w:themeTint="F2"/>
              </w:rPr>
            </w:pPr>
          </w:p>
          <w:p w14:paraId="17BB2145" w14:textId="03C49D27" w:rsidR="008B4054" w:rsidRDefault="008C7819" w:rsidP="00543A09">
            <w:pPr>
              <w:spacing w:after="240" w:line="288" w:lineRule="auto"/>
              <w:rPr>
                <w:rFonts w:asciiTheme="minorHAnsi" w:hAnsiTheme="minorHAnsi" w:cs="Arial"/>
                <w:color w:val="0D0D0D" w:themeColor="text1" w:themeTint="F2"/>
              </w:rPr>
            </w:pPr>
            <w:r>
              <w:rPr>
                <w:rFonts w:asciiTheme="minorHAnsi" w:hAnsiTheme="minorHAnsi" w:cs="Arial"/>
                <w:color w:val="0D0D0D" w:themeColor="text1" w:themeTint="F2"/>
              </w:rPr>
              <w:t>£1,450</w:t>
            </w:r>
          </w:p>
          <w:p w14:paraId="5C2A5FCC" w14:textId="77777777" w:rsidR="008B4054" w:rsidRDefault="008B4054" w:rsidP="00543A09">
            <w:pPr>
              <w:spacing w:after="240" w:line="288" w:lineRule="auto"/>
              <w:rPr>
                <w:rFonts w:asciiTheme="minorHAnsi" w:hAnsiTheme="minorHAnsi" w:cs="Arial"/>
                <w:color w:val="0D0D0D" w:themeColor="text1" w:themeTint="F2"/>
              </w:rPr>
            </w:pPr>
          </w:p>
          <w:p w14:paraId="22FBEC6F" w14:textId="315D1CE6" w:rsidR="008B4054" w:rsidRPr="002B0C1F" w:rsidRDefault="008B4054" w:rsidP="00543A09">
            <w:pPr>
              <w:spacing w:after="240" w:line="288" w:lineRule="auto"/>
              <w:rPr>
                <w:rFonts w:asciiTheme="minorHAnsi" w:hAnsiTheme="minorHAnsi" w:cs="Arial"/>
                <w:color w:val="0D0D0D" w:themeColor="text1" w:themeTint="F2"/>
              </w:rPr>
            </w:pPr>
          </w:p>
        </w:tc>
      </w:tr>
    </w:tbl>
    <w:p w14:paraId="585FEF4F" w14:textId="77777777" w:rsidR="002B0C1F" w:rsidRPr="002B0C1F" w:rsidRDefault="002B0C1F" w:rsidP="002B0C1F">
      <w:pPr>
        <w:rPr>
          <w:rFonts w:eastAsia="Times New Roman" w:cs="Arial"/>
          <w:color w:val="0D0D0D" w:themeColor="text1" w:themeTint="F2"/>
          <w:sz w:val="20"/>
          <w:szCs w:val="20"/>
          <w:lang w:eastAsia="en-GB"/>
        </w:rPr>
      </w:pPr>
    </w:p>
    <w:tbl>
      <w:tblPr>
        <w:tblStyle w:val="TableGrid"/>
        <w:tblW w:w="14992" w:type="dxa"/>
        <w:tblLayout w:type="fixed"/>
        <w:tblLook w:val="04A0" w:firstRow="1" w:lastRow="0" w:firstColumn="1" w:lastColumn="0" w:noHBand="0" w:noVBand="1"/>
      </w:tblPr>
      <w:tblGrid>
        <w:gridCol w:w="13716"/>
        <w:gridCol w:w="1276"/>
      </w:tblGrid>
      <w:tr w:rsidR="008D4E75" w:rsidRPr="002B0C1F" w14:paraId="2920E737" w14:textId="77777777" w:rsidTr="00311C61">
        <w:tc>
          <w:tcPr>
            <w:tcW w:w="13716" w:type="dxa"/>
            <w:shd w:val="clear" w:color="auto" w:fill="CFDCE3"/>
            <w:tcMar>
              <w:top w:w="57" w:type="dxa"/>
              <w:bottom w:w="57" w:type="dxa"/>
            </w:tcMar>
          </w:tcPr>
          <w:p w14:paraId="5192276D" w14:textId="77777777" w:rsidR="008D4E75" w:rsidRPr="008C7819" w:rsidRDefault="008D4E75" w:rsidP="008D4E75">
            <w:pPr>
              <w:ind w:left="567"/>
              <w:rPr>
                <w:rFonts w:asciiTheme="minorHAnsi" w:hAnsiTheme="minorHAnsi" w:cs="Arial"/>
                <w:b/>
                <w:color w:val="0D0D0D" w:themeColor="text1" w:themeTint="F2"/>
              </w:rPr>
            </w:pPr>
            <w:r w:rsidRPr="008C7819">
              <w:rPr>
                <w:rFonts w:asciiTheme="minorHAnsi" w:hAnsiTheme="minorHAnsi" w:cs="Arial"/>
                <w:b/>
                <w:color w:val="0D0D0D" w:themeColor="text1" w:themeTint="F2"/>
              </w:rPr>
              <w:t xml:space="preserve">                                                                                                                                                                                                                                                                   Total cost</w:t>
            </w:r>
          </w:p>
        </w:tc>
        <w:tc>
          <w:tcPr>
            <w:tcW w:w="1276" w:type="dxa"/>
            <w:shd w:val="clear" w:color="auto" w:fill="CFDCE3"/>
          </w:tcPr>
          <w:p w14:paraId="736C9F1C" w14:textId="6B18D75E" w:rsidR="008D4E75" w:rsidRPr="008C7819" w:rsidRDefault="008C7819" w:rsidP="008C7819">
            <w:pPr>
              <w:rPr>
                <w:rFonts w:asciiTheme="minorHAnsi" w:hAnsiTheme="minorHAnsi" w:cs="Arial"/>
                <w:b/>
                <w:color w:val="0D0D0D" w:themeColor="text1" w:themeTint="F2"/>
              </w:rPr>
            </w:pPr>
            <w:r w:rsidRPr="008C7819">
              <w:rPr>
                <w:rFonts w:asciiTheme="minorHAnsi" w:hAnsiTheme="minorHAnsi" w:cs="Arial"/>
                <w:b/>
                <w:color w:val="0D0D0D" w:themeColor="text1" w:themeTint="F2"/>
              </w:rPr>
              <w:t>£93,394</w:t>
            </w:r>
          </w:p>
        </w:tc>
      </w:tr>
      <w:tr w:rsidR="008D4E75" w:rsidRPr="002B0C1F" w14:paraId="0B1475D3" w14:textId="77777777" w:rsidTr="00311C61">
        <w:tc>
          <w:tcPr>
            <w:tcW w:w="13716" w:type="dxa"/>
            <w:shd w:val="clear" w:color="auto" w:fill="CFDCE3"/>
            <w:tcMar>
              <w:top w:w="57" w:type="dxa"/>
              <w:bottom w:w="57" w:type="dxa"/>
            </w:tcMar>
          </w:tcPr>
          <w:p w14:paraId="136E8E0A" w14:textId="10A4F9EA" w:rsidR="008D4E75" w:rsidRPr="008C7819" w:rsidRDefault="008D4E75" w:rsidP="008D4E75">
            <w:pPr>
              <w:ind w:left="567"/>
              <w:rPr>
                <w:rFonts w:asciiTheme="minorHAnsi" w:hAnsiTheme="minorHAnsi" w:cs="Arial"/>
                <w:b/>
                <w:color w:val="0D0D0D" w:themeColor="text1" w:themeTint="F2"/>
              </w:rPr>
            </w:pPr>
            <w:r w:rsidRPr="008C7819">
              <w:rPr>
                <w:rFonts w:asciiTheme="minorHAnsi" w:hAnsiTheme="minorHAnsi" w:cs="Arial"/>
                <w:b/>
                <w:color w:val="0D0D0D" w:themeColor="text1" w:themeTint="F2"/>
              </w:rPr>
              <w:t xml:space="preserve">                                                                                                                                                                                                                 </w:t>
            </w:r>
            <w:r w:rsidR="008C7819">
              <w:rPr>
                <w:rFonts w:asciiTheme="minorHAnsi" w:hAnsiTheme="minorHAnsi" w:cs="Arial"/>
                <w:b/>
                <w:color w:val="0D0D0D" w:themeColor="text1" w:themeTint="F2"/>
              </w:rPr>
              <w:t xml:space="preserve">                                                     </w:t>
            </w:r>
            <w:r w:rsidRPr="008C7819">
              <w:rPr>
                <w:rFonts w:asciiTheme="minorHAnsi" w:hAnsiTheme="minorHAnsi" w:cs="Arial"/>
                <w:b/>
                <w:color w:val="0D0D0D" w:themeColor="text1" w:themeTint="F2"/>
              </w:rPr>
              <w:t xml:space="preserve">  Income</w:t>
            </w:r>
          </w:p>
        </w:tc>
        <w:tc>
          <w:tcPr>
            <w:tcW w:w="1276" w:type="dxa"/>
            <w:shd w:val="clear" w:color="auto" w:fill="CFDCE3"/>
          </w:tcPr>
          <w:p w14:paraId="6782416A" w14:textId="0A26473E" w:rsidR="008D4E75" w:rsidRPr="008C7819" w:rsidRDefault="008C7819" w:rsidP="008C7819">
            <w:pPr>
              <w:rPr>
                <w:rFonts w:asciiTheme="minorHAnsi" w:hAnsiTheme="minorHAnsi" w:cs="Arial"/>
                <w:b/>
                <w:color w:val="0D0D0D" w:themeColor="text1" w:themeTint="F2"/>
              </w:rPr>
            </w:pPr>
            <w:r w:rsidRPr="008C7819">
              <w:rPr>
                <w:rFonts w:asciiTheme="minorHAnsi" w:hAnsiTheme="minorHAnsi" w:cs="Arial"/>
                <w:b/>
                <w:color w:val="0D0D0D" w:themeColor="text1" w:themeTint="F2"/>
              </w:rPr>
              <w:t>£92,580</w:t>
            </w:r>
          </w:p>
        </w:tc>
      </w:tr>
      <w:tr w:rsidR="008D4E75" w:rsidRPr="002B0C1F" w14:paraId="29028F64" w14:textId="77777777" w:rsidTr="00311C61">
        <w:tc>
          <w:tcPr>
            <w:tcW w:w="13716" w:type="dxa"/>
            <w:shd w:val="clear" w:color="auto" w:fill="CFDCE3"/>
            <w:tcMar>
              <w:top w:w="57" w:type="dxa"/>
              <w:bottom w:w="57" w:type="dxa"/>
            </w:tcMar>
          </w:tcPr>
          <w:p w14:paraId="6046E494" w14:textId="0CD6DBB4" w:rsidR="008D4E75" w:rsidRPr="008C7819" w:rsidRDefault="008D4E75" w:rsidP="008D4E75">
            <w:pPr>
              <w:ind w:left="567"/>
              <w:rPr>
                <w:rFonts w:asciiTheme="minorHAnsi" w:hAnsiTheme="minorHAnsi" w:cs="Arial"/>
                <w:b/>
                <w:color w:val="0D0D0D" w:themeColor="text1" w:themeTint="F2"/>
              </w:rPr>
            </w:pPr>
            <w:r w:rsidRPr="008C7819">
              <w:rPr>
                <w:rFonts w:asciiTheme="minorHAnsi" w:hAnsiTheme="minorHAnsi" w:cs="Arial"/>
                <w:b/>
                <w:color w:val="0D0D0D" w:themeColor="text1" w:themeTint="F2"/>
              </w:rPr>
              <w:t xml:space="preserve">                                                                                                                                                                                                                   </w:t>
            </w:r>
            <w:r w:rsidR="008C7819">
              <w:rPr>
                <w:rFonts w:asciiTheme="minorHAnsi" w:hAnsiTheme="minorHAnsi" w:cs="Arial"/>
                <w:b/>
                <w:color w:val="0D0D0D" w:themeColor="text1" w:themeTint="F2"/>
              </w:rPr>
              <w:t xml:space="preserve">                                               </w:t>
            </w:r>
            <w:r w:rsidRPr="008C7819">
              <w:rPr>
                <w:rFonts w:asciiTheme="minorHAnsi" w:hAnsiTheme="minorHAnsi" w:cs="Arial"/>
                <w:b/>
                <w:color w:val="0D0D0D" w:themeColor="text1" w:themeTint="F2"/>
              </w:rPr>
              <w:t>Overspend</w:t>
            </w:r>
          </w:p>
        </w:tc>
        <w:tc>
          <w:tcPr>
            <w:tcW w:w="1276" w:type="dxa"/>
            <w:shd w:val="clear" w:color="auto" w:fill="CFDCE3"/>
          </w:tcPr>
          <w:p w14:paraId="25B19735" w14:textId="414A79B2" w:rsidR="008D4E75" w:rsidRPr="008C7819" w:rsidRDefault="008C7819" w:rsidP="008C7819">
            <w:pPr>
              <w:rPr>
                <w:rFonts w:asciiTheme="minorHAnsi" w:hAnsiTheme="minorHAnsi" w:cs="Arial"/>
                <w:b/>
                <w:color w:val="0D0D0D" w:themeColor="text1" w:themeTint="F2"/>
              </w:rPr>
            </w:pPr>
            <w:r>
              <w:rPr>
                <w:rFonts w:asciiTheme="minorHAnsi" w:hAnsiTheme="minorHAnsi" w:cs="Arial"/>
                <w:b/>
                <w:color w:val="0D0D0D" w:themeColor="text1" w:themeTint="F2"/>
              </w:rPr>
              <w:t>£814</w:t>
            </w:r>
          </w:p>
        </w:tc>
      </w:tr>
    </w:tbl>
    <w:p w14:paraId="0EDAA416" w14:textId="77777777" w:rsidR="002B0C1F" w:rsidRPr="002B0C1F" w:rsidRDefault="002B0C1F" w:rsidP="002B0C1F">
      <w:pPr>
        <w:tabs>
          <w:tab w:val="left" w:pos="14844"/>
        </w:tabs>
        <w:spacing w:after="240" w:line="288" w:lineRule="auto"/>
        <w:ind w:right="-40"/>
        <w:rPr>
          <w:rFonts w:eastAsia="Arial" w:cs="Arial"/>
          <w:color w:val="050505"/>
          <w:spacing w:val="1"/>
          <w:sz w:val="20"/>
          <w:szCs w:val="20"/>
          <w:lang w:eastAsia="en-GB"/>
        </w:rPr>
      </w:pPr>
    </w:p>
    <w:p w14:paraId="74D5A18D" w14:textId="77777777" w:rsidR="00DD4B13" w:rsidRPr="002B0C1F" w:rsidRDefault="00DD4B13">
      <w:pPr>
        <w:rPr>
          <w:sz w:val="20"/>
          <w:szCs w:val="20"/>
        </w:rPr>
      </w:pPr>
    </w:p>
    <w:sectPr w:rsidR="00DD4B13" w:rsidRPr="002B0C1F" w:rsidSect="002B0C1F">
      <w:pgSz w:w="16838" w:h="11906" w:orient="landscape"/>
      <w:pgMar w:top="1134"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23F94"/>
    <w:multiLevelType w:val="hybridMultilevel"/>
    <w:tmpl w:val="2EB426E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D01204"/>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5C835003"/>
    <w:multiLevelType w:val="hybridMultilevel"/>
    <w:tmpl w:val="B6648E8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7E15D0D"/>
    <w:multiLevelType w:val="hybridMultilevel"/>
    <w:tmpl w:val="2B20F516"/>
    <w:lvl w:ilvl="0" w:tplc="CE8A3660">
      <w:start w:val="1"/>
      <w:numFmt w:val="upperLetter"/>
      <w:lvlText w:val="%1."/>
      <w:lvlJc w:val="left"/>
      <w:pPr>
        <w:ind w:left="1080" w:hanging="360"/>
      </w:pPr>
      <w:rPr>
        <w:rFonts w:asciiTheme="minorHAnsi" w:hAnsiTheme="minorHAns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7D353C98"/>
    <w:multiLevelType w:val="hybridMultilevel"/>
    <w:tmpl w:val="0018D6C4"/>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C1F"/>
    <w:rsid w:val="00021640"/>
    <w:rsid w:val="00031A77"/>
    <w:rsid w:val="0007520B"/>
    <w:rsid w:val="000958E7"/>
    <w:rsid w:val="00115BA8"/>
    <w:rsid w:val="001534B4"/>
    <w:rsid w:val="001671CA"/>
    <w:rsid w:val="001B14E6"/>
    <w:rsid w:val="0024241A"/>
    <w:rsid w:val="00250524"/>
    <w:rsid w:val="00266D35"/>
    <w:rsid w:val="002713E6"/>
    <w:rsid w:val="002831B8"/>
    <w:rsid w:val="002875E3"/>
    <w:rsid w:val="002B0C1F"/>
    <w:rsid w:val="002E6857"/>
    <w:rsid w:val="003023F5"/>
    <w:rsid w:val="00311C61"/>
    <w:rsid w:val="0031254A"/>
    <w:rsid w:val="003528F1"/>
    <w:rsid w:val="0035702F"/>
    <w:rsid w:val="00357BD0"/>
    <w:rsid w:val="00375C93"/>
    <w:rsid w:val="00376DC4"/>
    <w:rsid w:val="00385E68"/>
    <w:rsid w:val="003C70FF"/>
    <w:rsid w:val="003C79C5"/>
    <w:rsid w:val="003D5DA9"/>
    <w:rsid w:val="004340E7"/>
    <w:rsid w:val="0043542A"/>
    <w:rsid w:val="0049688E"/>
    <w:rsid w:val="004B0E52"/>
    <w:rsid w:val="005165A9"/>
    <w:rsid w:val="005269A0"/>
    <w:rsid w:val="00536419"/>
    <w:rsid w:val="00543A09"/>
    <w:rsid w:val="00561E55"/>
    <w:rsid w:val="00574ECD"/>
    <w:rsid w:val="00596F39"/>
    <w:rsid w:val="005B4634"/>
    <w:rsid w:val="005B6117"/>
    <w:rsid w:val="0061609E"/>
    <w:rsid w:val="0068648B"/>
    <w:rsid w:val="00686F10"/>
    <w:rsid w:val="00734F05"/>
    <w:rsid w:val="0074606B"/>
    <w:rsid w:val="00754D60"/>
    <w:rsid w:val="00782074"/>
    <w:rsid w:val="007E4E23"/>
    <w:rsid w:val="00826329"/>
    <w:rsid w:val="0085192D"/>
    <w:rsid w:val="008B4054"/>
    <w:rsid w:val="008C7819"/>
    <w:rsid w:val="008D4E75"/>
    <w:rsid w:val="008E52BD"/>
    <w:rsid w:val="00952083"/>
    <w:rsid w:val="00975F8B"/>
    <w:rsid w:val="009B7089"/>
    <w:rsid w:val="009C0DFB"/>
    <w:rsid w:val="00A216D6"/>
    <w:rsid w:val="00A34CE0"/>
    <w:rsid w:val="00A3681E"/>
    <w:rsid w:val="00A519AD"/>
    <w:rsid w:val="00A67FAF"/>
    <w:rsid w:val="00A83372"/>
    <w:rsid w:val="00A84086"/>
    <w:rsid w:val="00AF4F9E"/>
    <w:rsid w:val="00B3625A"/>
    <w:rsid w:val="00B51BB0"/>
    <w:rsid w:val="00B609C9"/>
    <w:rsid w:val="00B72191"/>
    <w:rsid w:val="00B869EC"/>
    <w:rsid w:val="00B92449"/>
    <w:rsid w:val="00BB0A7F"/>
    <w:rsid w:val="00BC5F28"/>
    <w:rsid w:val="00C103FE"/>
    <w:rsid w:val="00C15EFF"/>
    <w:rsid w:val="00C32319"/>
    <w:rsid w:val="00C4704C"/>
    <w:rsid w:val="00C836DE"/>
    <w:rsid w:val="00CA481A"/>
    <w:rsid w:val="00CF6525"/>
    <w:rsid w:val="00D12607"/>
    <w:rsid w:val="00D27FAA"/>
    <w:rsid w:val="00D557A0"/>
    <w:rsid w:val="00D57C6F"/>
    <w:rsid w:val="00D90E74"/>
    <w:rsid w:val="00D9525E"/>
    <w:rsid w:val="00DD1A1F"/>
    <w:rsid w:val="00DD4B13"/>
    <w:rsid w:val="00E178F0"/>
    <w:rsid w:val="00E42890"/>
    <w:rsid w:val="00E77EBD"/>
    <w:rsid w:val="00E94FC4"/>
    <w:rsid w:val="00EC22A0"/>
    <w:rsid w:val="00EC712C"/>
    <w:rsid w:val="00EE08A0"/>
    <w:rsid w:val="00F03F52"/>
    <w:rsid w:val="00F45740"/>
    <w:rsid w:val="00F66D39"/>
    <w:rsid w:val="00F77C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2B1B1"/>
  <w15:docId w15:val="{55B8F9FB-ED0A-4BFD-B3B4-D7BB0821C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sid w:val="002B0C1F"/>
    <w:rPr>
      <w:rFonts w:ascii="Arial" w:hAnsi="Arial"/>
      <w:color w:val="0000FF"/>
      <w:sz w:val="24"/>
      <w:u w:val="single"/>
    </w:rPr>
  </w:style>
  <w:style w:type="table" w:styleId="TableGrid">
    <w:name w:val="Table Grid"/>
    <w:basedOn w:val="TableNormal"/>
    <w:uiPriority w:val="59"/>
    <w:rsid w:val="002B0C1F"/>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7089"/>
    <w:pPr>
      <w:ind w:left="720"/>
      <w:contextualSpacing/>
    </w:pPr>
  </w:style>
  <w:style w:type="paragraph" w:styleId="BalloonText">
    <w:name w:val="Balloon Text"/>
    <w:basedOn w:val="Normal"/>
    <w:link w:val="BalloonTextChar"/>
    <w:uiPriority w:val="99"/>
    <w:semiHidden/>
    <w:unhideWhenUsed/>
    <w:rsid w:val="004B0E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E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F0F93-62DD-420C-A2A3-12D38E3D4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D4220D6A.dotm</Template>
  <TotalTime>7</TotalTime>
  <Pages>6</Pages>
  <Words>1041</Words>
  <Characters>5938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Gateshead Council</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Waugh</dc:creator>
  <cp:lastModifiedBy>Denise Thompson</cp:lastModifiedBy>
  <cp:revision>4</cp:revision>
  <cp:lastPrinted>2019-07-02T13:25:00Z</cp:lastPrinted>
  <dcterms:created xsi:type="dcterms:W3CDTF">2019-09-17T16:01:00Z</dcterms:created>
  <dcterms:modified xsi:type="dcterms:W3CDTF">2019-10-14T11:11:00Z</dcterms:modified>
</cp:coreProperties>
</file>